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949818.xml.htm"/>
      <w:bookmarkStart w:id="1" w:name="kswkform4_17809498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Foster-Cheek Kaye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PRIME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Prime Medicine, Inc.</w:t>
              </w:r>
            </w:hyperlink>
            <w:r>
              <w:rPr/>
              <w:t xml:space="preserve"> [ </w:t>
            </w:r>
            <w:r>
              <w:rPr>
                <w:rFonts w:ascii="Times;serif" w:hAnsi="Times;serif"/>
                <w:color w:val="0000FF"/>
                <w:sz w:val="24"/>
                <w:shd w:fill="FFFFFF" w:val="clear"/>
              </w:rPr>
              <w:t>PRME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shall vest in full upon the earlier of (i) June 5, 2027 or (ii) the date of the next annual meeting of stockholders, subject to the Reporting Person's continuous service to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2622" TargetMode="External"/><Relationship Id="rId5" Type="http://schemas.openxmlformats.org/officeDocument/2006/relationships/hyperlink" Target="http://www.sec.gov/cgi-bin/browse-edgar?action=getcompany&amp;CIK=0001894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3301</Characters>
  <CharactersWithSpaces>3851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