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___________________ to ___________________</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Commission file number 001-41536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Prime Medicine,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327" w:type="dxa"/>
        <w:jc w:val="left"/>
        <w:tblInd w:w="0" w:type="dxa"/>
        <w:tblLayout w:type="fixed"/>
        <w:tblCellMar>
          <w:top w:w="28" w:type="dxa"/>
          <w:left w:w="28" w:type="dxa"/>
          <w:bottom w:w="28" w:type="dxa"/>
          <w:right w:w="28" w:type="dxa"/>
        </w:tblCellMar>
      </w:tblPr>
      <w:tblGrid>
        <w:gridCol w:w="1354"/>
        <w:gridCol w:w="1190"/>
        <w:gridCol w:w="1206"/>
        <w:gridCol w:w="109"/>
        <w:gridCol w:w="109"/>
        <w:gridCol w:w="109"/>
        <w:gridCol w:w="657"/>
        <w:gridCol w:w="657"/>
        <w:gridCol w:w="936"/>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84-3097762</w:t>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60 First Street, Cambridge,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02141</w:t>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(617) 465-0013</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112" w:type="dxa"/>
        <w:jc w:val="center"/>
        <w:tblInd w:w="0" w:type="dxa"/>
        <w:tblLayout w:type="fixed"/>
        <w:tblCellMar>
          <w:top w:w="28" w:type="dxa"/>
          <w:left w:w="28" w:type="dxa"/>
          <w:bottom w:w="28" w:type="dxa"/>
          <w:right w:w="28" w:type="dxa"/>
        </w:tblCellMar>
      </w:tblPr>
      <w:tblGrid>
        <w:gridCol w:w="1209"/>
        <w:gridCol w:w="1060"/>
        <w:gridCol w:w="1075"/>
        <w:gridCol w:w="484"/>
        <w:gridCol w:w="484"/>
        <w:gridCol w:w="486"/>
        <w:gridCol w:w="970"/>
        <w:gridCol w:w="970"/>
        <w:gridCol w:w="1374"/>
      </w:tblGrid>
      <w:tr>
        <w:trPr/>
        <w:tc>
          <w:tcPr>
            <w:tcW w:w="12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$0.00001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PRME</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Nasdaq Global Market</w:t>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4419"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679"/>
        <w:gridCol w:w="679"/>
        <w:gridCol w:w="682"/>
        <w:gridCol w:w="109"/>
        <w:gridCol w:w="109"/>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As of July 31, 2026, the registrant had </w:t>
      </w:r>
      <w:bookmarkStart w:id="0" w:name="i49f5da8a04494b7c9345df389d7a064e_2050"/>
      <w:bookmarkEnd w:id="0"/>
      <w:r>
        <w:rPr>
          <w:rFonts w:ascii="Times New Roman;serif" w:hAnsi="Times New Roman;serif"/>
          <w:b w:val="false"/>
          <w:color w:val="000000"/>
          <w:sz w:val="18"/>
        </w:rPr>
        <w:t>181,376,856 shares of common stock, par value $0.00001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express or implied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Quarterly Report on Form 10-Q, including statements regarding our strategy, future operations, future financial position, future revenue, projected costs, prospects, plans, and objectives of management, are forward-looking statements, which are based on management’s belief and assumptions and on information currently available to our management. These statements involve substantial risks, assumptions and uncertainties. The words “anticipate,” “believe,” “envision,” “estimate,” “expect,” “goal,” “intend,” “may,” “plan,” “predict,” “project,” “strategy,” “target,” “potential,” “will,” “would,” “could,” “should,” “continue,” “contemplate,” “vision” and similar expressions are intended to identify forward-looking statements, although not all forward-looking statements contain these identifying words.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in this Quarterly Report on Form 10-Q include statements about: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initiation, timing, progress and results of our research and development programs, product candidates, and ongoing and future preclinical studies and future clinical trials;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ability to demonstrate, and the timing of, preclinical proof-of-concept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for multiple programs;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advance any current and future product candidates that we may identify and successfully complete any clinical trials, including the manufacture of any such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pursue our areas of focus and any other additional programs we may advance;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quickly leverage programs within our initial target indications and to progress additional programs to further develop our pipeline;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timing of our investigational new drug, or IND, and/or clinical trial application, or CTA, submissions for our current and future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our Prime Editing technology to address unmet medical needs in patients;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implementation of our strategic plans for our business, programs and technology;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scope and duration of protection we are able to establish and maintain for intellectual property rights covering our Prime Editing technology;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developments related to our competitors and our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leverage the clinical, regulatory, and manufacturing advancements made by gene therapy and gene editing programs to accelerate our clinical trials and approval of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existing collaborations or strategic relationships, to identify and enter into future license agreements and collaborations on favorable terms, if at all, and to realize the intended and potential benefits of such agreements and collaborations;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developments related to our Prime Editing technology;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developments in the United States and foreign countries;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and retain key scientific and management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accuracy of our estimates regarding our expenses, capital requirements and needs for additional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Table of Contents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regulatory interactions with the U.S. Food and Drug Administration, or FDA, including with respect to the Regenerative Medicine Advanced Therapy, or RMAT, designation for PM359, based on the data from our Phase 1/2 trial of PM359 for the treatment of chronic granulomatous disease, or CGD, and the outcomes of any such interactions;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an effective system of internal controls;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effect of unfavorable macroeconomic conditions or market volatility resulting from national or global economic conditions or geopolitical developments, including inflationary pressures and capital market disruptions, changes in or disruptions of U.S. governmental agencies, whether from a U.S. federal government shutdown or reduced resources, new or increased international tariffs and retaliatory tariffs, trade protection measures, military conflicts, economic sanctions and economic slowdowns or recessions that may result from such developments which could harm our research and development efforts as well as the value of our securities and our ability to access capital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the anticipated timeline of our cash runway, future financial performance and our ability to continue as a going concern;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risks and uncertainties, including those listed under the caption “Risk Factors.”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not actually achieve the plans, intentions or expectations disclosed in our forward-looking statements, and these statements may be affected by inaccurate assumptions or by known or unknown risks and uncertainties.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and in subsequent Securities and Exchange Commission, or SEC, filings, particularly in the “Risk Factors” section, that we believe could cause actual results or events to differ materially from the forward-looking statements that we make. Unless otherwise disclosed, our forward-looking statements do not reflect the potential impact of any future acquisitions, mergers, dispositions, collaborations, joint ventures or investments we may make or enter into.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You should read this Quarterly Report on Form 10-Q and the documents that we reference herein and have filed as exhibits to our other filings with the SEC completely and with the understanding that our actual future results may be materially different from what we expect. The forward-looking statements contained in this Quarterly Report on Form 10-Q are made as of the date hereof, and we do not assume any obligation to update any forward-looking statements, whether as a result of new information, future events or otherwise after the date of such statements, except as required by applicable law.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also contains estimates, projections and other information concerning our industry, our business and the markets for our product candidates. Such information is inherently subject to uncertainties and actual events or circumstances may differ materially from events and circumstances that are assumed in this information. Unless otherwise expressly stated, we obtained statistical and other industry and market data from our own internal estimates and research, as well as from reports, industry publications and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set forth in Part II, Item 1A of this Quarterly Report on Form 10-Q, if any, our Annual Report on Form 10-K that was filed with the SEC on March 3, 2026, and in other SEC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PRIME MEDICINE,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502"/>
        <w:gridCol w:w="443"/>
        <w:gridCol w:w="443"/>
        <w:gridCol w:w="2896"/>
        <w:gridCol w:w="2695"/>
        <w:gridCol w:w="2712"/>
        <w:gridCol w:w="149"/>
        <w:gridCol w:w="149"/>
        <w:gridCol w:w="216"/>
      </w:tblGrid>
      <w:tr>
        <w:trPr/>
        <w:tc>
          <w:tcPr>
            <w:tcW w:w="50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13">
              <w:r>
                <w:rPr>
                  <w:rStyle w:val="InternetLink"/>
                  <w:rFonts w:ascii="Times New Roman;serif" w:hAnsi="Times New Roman;serif"/>
                  <w:b w:val="false"/>
                  <w:color w:val="3051F2"/>
                  <w:sz w:val="20"/>
                  <w:u w:val="single"/>
                </w:rPr>
                <w:t>PART I - FINANCIAL INFORMATION</w:t>
              </w:r>
            </w:hyperlink>
          </w:p>
        </w:tc>
        <w:tc>
          <w:tcPr>
            <w:tcW w:w="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c2180810e69b4592a52c8084368c6cae_13">
              <w:r>
                <w:rPr>
                  <w:rStyle w:val="InternetLink"/>
                  <w:rFonts w:ascii="Times New Roman;serif" w:hAnsi="Times New Roman;serif"/>
                  <w:b w:val="false"/>
                  <w:color w:val="3051F2"/>
                  <w:sz w:val="20"/>
                  <w:u w:val="single"/>
                </w:rPr>
                <w:t>5</w:t>
              </w:r>
            </w:hyperlink>
          </w:p>
        </w:tc>
      </w:tr>
      <w:tr>
        <w:trPr/>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16">
              <w:r>
                <w:rPr>
                  <w:rStyle w:val="InternetLink"/>
                  <w:rFonts w:ascii="Times New Roman;serif" w:hAnsi="Times New Roman;serif"/>
                  <w:b w:val="false"/>
                  <w:color w:val="3051F2"/>
                  <w:sz w:val="20"/>
                  <w:u w:val="single"/>
                </w:rPr>
                <w:t>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16">
              <w:r>
                <w:rPr>
                  <w:rStyle w:val="InternetLink"/>
                  <w:rFonts w:ascii="Times New Roman;serif" w:hAnsi="Times New Roman;serif"/>
                  <w:b w:val="false"/>
                  <w:color w:val="3051F2"/>
                  <w:sz w:val="20"/>
                  <w:u w:val="single"/>
                </w:rPr>
                <w:t>5</w:t>
              </w:r>
            </w:hyperlink>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19">
              <w:r>
                <w:rPr>
                  <w:rStyle w:val="InternetLink"/>
                  <w:rFonts w:ascii="Times New Roman;serif" w:hAnsi="Times New Roman;serif"/>
                  <w:b w:val="false"/>
                  <w:color w:val="3051F2"/>
                  <w:sz w:val="20"/>
                  <w:u w:val="single"/>
                </w:rPr>
                <w:t>Condensed Consolidated Balance Sheets as of June 30, 2026 and December 31, 2025</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19">
              <w:r>
                <w:rPr>
                  <w:rStyle w:val="InternetLink"/>
                  <w:rFonts w:ascii="Times New Roman;serif" w:hAnsi="Times New Roman;serif"/>
                  <w:b w:val="false"/>
                  <w:color w:val="3051F2"/>
                  <w:sz w:val="20"/>
                  <w:u w:val="single"/>
                </w:rPr>
                <w:t>5</w:t>
              </w:r>
            </w:hyperlink>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22">
              <w:r>
                <w:rPr>
                  <w:rStyle w:val="InternetLink"/>
                  <w:rFonts w:ascii="Times New Roman;serif" w:hAnsi="Times New Roman;serif"/>
                  <w:b w:val="false"/>
                  <w:color w:val="3051F2"/>
                  <w:sz w:val="20"/>
                  <w:u w:val="single"/>
                </w:rPr>
                <w:t>Condensed Consolidated Statements of Operations and Comprehensive Loss for the Three and Six Months Ended June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22">
              <w:r>
                <w:rPr>
                  <w:rStyle w:val="InternetLink"/>
                  <w:rFonts w:ascii="Times New Roman;serif" w:hAnsi="Times New Roman;serif"/>
                  <w:b w:val="false"/>
                  <w:color w:val="3051F2"/>
                  <w:sz w:val="20"/>
                  <w:u w:val="single"/>
                </w:rPr>
                <w:t>6</w:t>
              </w:r>
            </w:hyperlink>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25">
              <w:r>
                <w:rPr>
                  <w:rStyle w:val="InternetLink"/>
                  <w:rFonts w:ascii="Times New Roman;serif" w:hAnsi="Times New Roman;serif"/>
                  <w:b w:val="false"/>
                  <w:color w:val="3051F2"/>
                  <w:sz w:val="20"/>
                  <w:u w:val="single"/>
                </w:rPr>
                <w:t>Condensed Consolidated Statements of Stockholders’ Equity for the Three and Six Months Ended June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25">
              <w:r>
                <w:rPr>
                  <w:rStyle w:val="InternetLink"/>
                  <w:rFonts w:ascii="Times New Roman;serif" w:hAnsi="Times New Roman;serif"/>
                  <w:b w:val="false"/>
                  <w:color w:val="3051F2"/>
                  <w:sz w:val="20"/>
                  <w:u w:val="single"/>
                </w:rPr>
                <w:t>7</w:t>
              </w:r>
            </w:hyperlink>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28">
              <w:r>
                <w:rPr>
                  <w:rStyle w:val="InternetLink"/>
                  <w:rFonts w:ascii="Times New Roman;serif" w:hAnsi="Times New Roman;serif"/>
                  <w:b w:val="false"/>
                  <w:color w:val="3051F2"/>
                  <w:sz w:val="20"/>
                  <w:u w:val="single"/>
                </w:rPr>
                <w:t>Condensed Consolidated Statements of Cash Flows for the Six Months Ended June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28">
              <w:r>
                <w:rPr>
                  <w:rStyle w:val="InternetLink"/>
                  <w:rFonts w:ascii="Times New Roman;serif" w:hAnsi="Times New Roman;serif"/>
                  <w:b w:val="false"/>
                  <w:color w:val="3051F2"/>
                  <w:sz w:val="20"/>
                  <w:u w:val="single"/>
                </w:rPr>
                <w:t>9</w:t>
              </w:r>
            </w:hyperlink>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31">
              <w:r>
                <w:rPr>
                  <w:rStyle w:val="InternetLink"/>
                  <w:rFonts w:ascii="Times New Roman;serif" w:hAnsi="Times New Roman;serif"/>
                  <w:b w:val="false"/>
                  <w:color w:val="3051F2"/>
                  <w:sz w:val="20"/>
                  <w:u w:val="single"/>
                </w:rPr>
                <w:t>Notes to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31">
              <w:r>
                <w:rPr>
                  <w:rStyle w:val="InternetLink"/>
                  <w:rFonts w:ascii="Times New Roman;serif" w:hAnsi="Times New Roman;serif"/>
                  <w:b w:val="false"/>
                  <w:color w:val="3051F2"/>
                  <w:sz w:val="20"/>
                  <w:u w:val="single"/>
                </w:rPr>
                <w:t>11</w:t>
              </w:r>
            </w:hyperlink>
          </w:p>
        </w:tc>
      </w:tr>
      <w:tr>
        <w:trPr/>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70">
              <w:r>
                <w:rPr>
                  <w:rStyle w:val="InternetLink"/>
                  <w:rFonts w:ascii="Times New Roman;serif" w:hAnsi="Times New Roman;serif"/>
                  <w:b w:val="false"/>
                  <w:color w:val="3051F2"/>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70">
              <w:r>
                <w:rPr>
                  <w:rStyle w:val="InternetLink"/>
                  <w:rFonts w:ascii="Times New Roman;serif" w:hAnsi="Times New Roman;serif"/>
                  <w:b w:val="false"/>
                  <w:color w:val="3051F2"/>
                  <w:sz w:val="20"/>
                  <w:u w:val="single"/>
                </w:rPr>
                <w:t>22</w:t>
              </w:r>
            </w:hyperlink>
          </w:p>
        </w:tc>
      </w:tr>
      <w:tr>
        <w:trPr/>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97">
              <w:r>
                <w:rPr>
                  <w:rStyle w:val="InternetLink"/>
                  <w:rFonts w:ascii="Times New Roman;serif" w:hAnsi="Times New Roman;serif"/>
                  <w:b w:val="false"/>
                  <w:color w:val="3051F2"/>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97">
              <w:r>
                <w:rPr>
                  <w:rStyle w:val="InternetLink"/>
                  <w:rFonts w:ascii="Times New Roman;serif" w:hAnsi="Times New Roman;serif"/>
                  <w:b w:val="false"/>
                  <w:color w:val="3051F2"/>
                  <w:sz w:val="20"/>
                  <w:u w:val="single"/>
                </w:rPr>
                <w:t>31</w:t>
              </w:r>
            </w:hyperlink>
          </w:p>
        </w:tc>
      </w:tr>
      <w:tr>
        <w:trPr/>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100">
              <w:r>
                <w:rPr>
                  <w:rStyle w:val="InternetLink"/>
                  <w:rFonts w:ascii="Times New Roman;serif" w:hAnsi="Times New Roman;serif"/>
                  <w:b w:val="false"/>
                  <w:color w:val="3051F2"/>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100">
              <w:r>
                <w:rPr>
                  <w:rStyle w:val="InternetLink"/>
                  <w:rFonts w:ascii="Times New Roman;serif" w:hAnsi="Times New Roman;serif"/>
                  <w:b w:val="false"/>
                  <w:color w:val="3051F2"/>
                  <w:sz w:val="20"/>
                  <w:u w:val="single"/>
                </w:rPr>
                <w:t>31</w:t>
              </w:r>
            </w:hyperlink>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103">
              <w:r>
                <w:rPr>
                  <w:rStyle w:val="InternetLink"/>
                  <w:rFonts w:ascii="Times New Roman;serif" w:hAnsi="Times New Roman;serif"/>
                  <w:b w:val="false"/>
                  <w:color w:val="3051F2"/>
                  <w:sz w:val="20"/>
                  <w:u w:val="single"/>
                </w:rPr>
                <w:t>PART II - 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103">
              <w:r>
                <w:rPr>
                  <w:rStyle w:val="InternetLink"/>
                  <w:rFonts w:ascii="Times New Roman;serif" w:hAnsi="Times New Roman;serif"/>
                  <w:b w:val="false"/>
                  <w:color w:val="3051F2"/>
                  <w:sz w:val="20"/>
                  <w:u w:val="single"/>
                </w:rPr>
                <w:t>33</w:t>
              </w:r>
            </w:hyperlink>
          </w:p>
        </w:tc>
      </w:tr>
      <w:tr>
        <w:trPr/>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106">
              <w:r>
                <w:rPr>
                  <w:rStyle w:val="InternetLink"/>
                  <w:rFonts w:ascii="Times New Roman;serif" w:hAnsi="Times New Roman;serif"/>
                  <w:b w:val="false"/>
                  <w:color w:val="3051F2"/>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106">
              <w:r>
                <w:rPr>
                  <w:rStyle w:val="InternetLink"/>
                  <w:rFonts w:ascii="Times New Roman;serif" w:hAnsi="Times New Roman;serif"/>
                  <w:b w:val="false"/>
                  <w:color w:val="3051F2"/>
                  <w:sz w:val="20"/>
                  <w:u w:val="single"/>
                </w:rPr>
                <w:t>33</w:t>
              </w:r>
            </w:hyperlink>
          </w:p>
        </w:tc>
      </w:tr>
      <w:tr>
        <w:trPr/>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109">
              <w:r>
                <w:rPr>
                  <w:rStyle w:val="InternetLink"/>
                  <w:rFonts w:ascii="Times New Roman;serif" w:hAnsi="Times New Roman;serif"/>
                  <w:b w:val="false"/>
                  <w:color w:val="3051F2"/>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109">
              <w:r>
                <w:rPr>
                  <w:rStyle w:val="InternetLink"/>
                  <w:rFonts w:ascii="Times New Roman;serif" w:hAnsi="Times New Roman;serif"/>
                  <w:b w:val="false"/>
                  <w:color w:val="3051F2"/>
                  <w:sz w:val="20"/>
                  <w:u w:val="single"/>
                </w:rPr>
                <w:t>33</w:t>
              </w:r>
            </w:hyperlink>
          </w:p>
        </w:tc>
      </w:tr>
      <w:tr>
        <w:trPr/>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112">
              <w:r>
                <w:rPr>
                  <w:rStyle w:val="InternetLink"/>
                  <w:rFonts w:ascii="Times New Roman;serif" w:hAnsi="Times New Roman;serif"/>
                  <w:b w:val="false"/>
                  <w:color w:val="3051F2"/>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112">
              <w:r>
                <w:rPr>
                  <w:rStyle w:val="InternetLink"/>
                  <w:rFonts w:ascii="Times New Roman;serif" w:hAnsi="Times New Roman;serif"/>
                  <w:b w:val="false"/>
                  <w:color w:val="3051F2"/>
                  <w:sz w:val="20"/>
                  <w:u w:val="single"/>
                </w:rPr>
                <w:t>37</w:t>
              </w:r>
            </w:hyperlink>
          </w:p>
        </w:tc>
      </w:tr>
      <w:tr>
        <w:trPr/>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115">
              <w:r>
                <w:rPr>
                  <w:rStyle w:val="InternetLink"/>
                  <w:rFonts w:ascii="Times New Roman;serif" w:hAnsi="Times New Roman;serif"/>
                  <w:b w:val="false"/>
                  <w:color w:val="3051F2"/>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115">
              <w:r>
                <w:rPr>
                  <w:rStyle w:val="InternetLink"/>
                  <w:rFonts w:ascii="Times New Roman;serif" w:hAnsi="Times New Roman;serif"/>
                  <w:b w:val="false"/>
                  <w:color w:val="3051F2"/>
                  <w:sz w:val="20"/>
                  <w:u w:val="single"/>
                </w:rPr>
                <w:t>38</w:t>
              </w:r>
            </w:hyperlink>
          </w:p>
        </w:tc>
      </w:tr>
      <w:tr>
        <w:trPr/>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118">
              <w:r>
                <w:rPr>
                  <w:rStyle w:val="InternetLink"/>
                  <w:rFonts w:ascii="Times New Roman;serif" w:hAnsi="Times New Roman;serif"/>
                  <w:b w:val="false"/>
                  <w:color w:val="3051F2"/>
                  <w:sz w:val="20"/>
                  <w:u w:val="single"/>
                </w:rPr>
                <w:t>Mine Safety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118">
              <w:r>
                <w:rPr>
                  <w:rStyle w:val="InternetLink"/>
                  <w:rFonts w:ascii="Times New Roman;serif" w:hAnsi="Times New Roman;serif"/>
                  <w:b w:val="false"/>
                  <w:color w:val="3051F2"/>
                  <w:sz w:val="20"/>
                  <w:u w:val="single"/>
                </w:rPr>
                <w:t>38</w:t>
              </w:r>
            </w:hyperlink>
          </w:p>
        </w:tc>
      </w:tr>
      <w:tr>
        <w:trPr/>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5. </w:t>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121">
              <w:r>
                <w:rPr>
                  <w:rStyle w:val="InternetLink"/>
                  <w:rFonts w:ascii="Times New Roman;serif" w:hAnsi="Times New Roman;serif"/>
                  <w:b w:val="false"/>
                  <w:color w:val="3051F2"/>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121">
              <w:r>
                <w:rPr>
                  <w:rStyle w:val="InternetLink"/>
                  <w:rFonts w:ascii="Times New Roman;serif" w:hAnsi="Times New Roman;serif"/>
                  <w:b w:val="false"/>
                  <w:color w:val="3051F2"/>
                  <w:sz w:val="20"/>
                  <w:u w:val="single"/>
                </w:rPr>
                <w:t>38</w:t>
              </w:r>
            </w:hyperlink>
          </w:p>
        </w:tc>
      </w:tr>
      <w:tr>
        <w:trPr/>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6. </w:t>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124">
              <w:r>
                <w:rPr>
                  <w:rStyle w:val="InternetLink"/>
                  <w:rFonts w:ascii="Times New Roman;serif" w:hAnsi="Times New Roman;serif"/>
                  <w:b w:val="false"/>
                  <w:color w:val="3051F2"/>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124">
              <w:r>
                <w:rPr>
                  <w:rStyle w:val="InternetLink"/>
                  <w:rFonts w:ascii="Times New Roman;serif" w:hAnsi="Times New Roman;serif"/>
                  <w:b w:val="false"/>
                  <w:color w:val="3051F2"/>
                  <w:sz w:val="20"/>
                  <w:u w:val="single"/>
                </w:rPr>
                <w:t>39</w:t>
              </w:r>
            </w:hyperlink>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2180810e69b4592a52c8084368c6cae_127">
              <w:r>
                <w:rPr>
                  <w:rStyle w:val="InternetLink"/>
                  <w:rFonts w:ascii="Times New Roman;serif" w:hAnsi="Times New Roman;serif"/>
                  <w:b w:val="false"/>
                  <w:color w:val="3051F2"/>
                  <w:sz w:val="20"/>
                  <w:u w:val="single"/>
                </w:rPr>
                <w:t>Signatures</w:t>
              </w:r>
            </w:hyperlink>
            <w:r>
              <w:rPr>
                <w:color w:val="3051F2"/>
              </w:rPr>
              <w:t xml:space="preserve">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2180810e69b4592a52c8084368c6cae_127">
              <w:r>
                <w:rPr>
                  <w:rStyle w:val="InternetLink"/>
                  <w:rFonts w:ascii="Times New Roman;serif" w:hAnsi="Times New Roman;serif"/>
                  <w:b w:val="false"/>
                  <w:color w:val="3051F2"/>
                  <w:sz w:val="20"/>
                  <w:u w:val="single"/>
                </w:rPr>
                <w:t>40</w:t>
              </w:r>
            </w:hyperlink>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we may use our website, our X (formerly known as Twitter) account (@PrimeMedicine) or our LinkedIn profile at https://www.linkedin.com/company/prime-medicine to distribute material information. Our financial and other material information is routinely posted to and accessible on the Investors section of our website, available at www.primemedicine.com. Investors are encouraged to review the Investors section of our website because we may post material information on that site that is not otherwise disseminated by us. Information that is contained in and can be accessed through our website or our social media is not incorporated into, and does not form a part of, this Quarterly Report on Form 10-Q.</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intend to apply for various trademarks that we use in connection with the operation of our business. This Quarterly Report on Form 10-Q may also contain trademarks, service marks and trade names of third parties, which are the property of their respective owners. Our use or display of third parties’ trademarks, service marks, trade names or products in this Annual Report on Form 10-K is not intended to, and does not imply a relationship with, or endorsement or sponsorship by us. Solely for convenience, the trademarks, service marks and trade names referred to in this Quarterly Report on Form 10-Q may appear without the ®, SM and ™ symbols, but the omission of such references is not intended to indicate, in any way, that we will not assert, to the fullest extent under applicable law, our rights or the right of the applicable owner of these trademarks, service marks and trade 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PRIME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3"/>
        <w:gridCol w:w="2198"/>
        <w:gridCol w:w="2212"/>
        <w:gridCol w:w="109"/>
        <w:gridCol w:w="109"/>
        <w:gridCol w:w="109"/>
        <w:gridCol w:w="211"/>
        <w:gridCol w:w="826"/>
        <w:gridCol w:w="109"/>
        <w:gridCol w:w="109"/>
        <w:gridCol w:w="109"/>
        <w:gridCol w:w="109"/>
        <w:gridCol w:w="211"/>
        <w:gridCol w:w="826"/>
        <w:gridCol w:w="155"/>
      </w:tblGrid>
      <w:tr>
        <w:trPr/>
        <w:tc>
          <w:tcPr>
            <w:tcW w:w="280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funding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Common stock, par value of $0.00001 per share; 775,000,000 shares authorized; 180,737,548 and 180,514,014 shares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(888,354)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342,733 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center"/>
        <w:rPr/>
      </w:pPr>
      <w:r>
        <w:rPr/>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PRIME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85"/>
        <w:gridCol w:w="1039"/>
        <w:gridCol w:w="1046"/>
        <w:gridCol w:w="109"/>
        <w:gridCol w:w="109"/>
        <w:gridCol w:w="109"/>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37"/>
        <w:gridCol w:w="949"/>
        <w:gridCol w:w="156"/>
      </w:tblGrid>
      <w:tr>
        <w:trPr/>
        <w:tc>
          <w:tcPr>
            <w:tcW w:w="15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81,937 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26,401 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(105,769)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(amortization)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short-term investment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177,224,892 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129,185,918 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177,160,914 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128,439,349 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(104,481)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(loss) income on investments,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(104,492)</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PRIME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27"/>
        <w:gridCol w:w="286"/>
        <w:gridCol w:w="288"/>
        <w:gridCol w:w="109"/>
        <w:gridCol w:w="109"/>
        <w:gridCol w:w="109"/>
        <w:gridCol w:w="593"/>
        <w:gridCol w:w="593"/>
        <w:gridCol w:w="196"/>
        <w:gridCol w:w="109"/>
        <w:gridCol w:w="109"/>
        <w:gridCol w:w="109"/>
        <w:gridCol w:w="253"/>
        <w:gridCol w:w="307"/>
        <w:gridCol w:w="131"/>
        <w:gridCol w:w="109"/>
        <w:gridCol w:w="109"/>
        <w:gridCol w:w="109"/>
        <w:gridCol w:w="211"/>
        <w:gridCol w:w="976"/>
        <w:gridCol w:w="109"/>
        <w:gridCol w:w="109"/>
        <w:gridCol w:w="109"/>
        <w:gridCol w:w="109"/>
        <w:gridCol w:w="376"/>
        <w:gridCol w:w="645"/>
        <w:gridCol w:w="196"/>
        <w:gridCol w:w="109"/>
        <w:gridCol w:w="109"/>
        <w:gridCol w:w="109"/>
        <w:gridCol w:w="211"/>
        <w:gridCol w:w="841"/>
        <w:gridCol w:w="109"/>
        <w:gridCol w:w="109"/>
        <w:gridCol w:w="109"/>
        <w:gridCol w:w="109"/>
        <w:gridCol w:w="211"/>
        <w:gridCol w:w="826"/>
        <w:gridCol w:w="158"/>
      </w:tblGrid>
      <w:tr>
        <w:trPr/>
        <w:tc>
          <w:tcPr>
            <w:tcW w:w="72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180,514,014 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120,868 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 during the period,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180,615,514 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(937,476)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the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112,110 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 during the period,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180,737,548 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(979,585)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39,809 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PRIME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69"/>
        <w:gridCol w:w="334"/>
        <w:gridCol w:w="336"/>
        <w:gridCol w:w="109"/>
        <w:gridCol w:w="109"/>
        <w:gridCol w:w="109"/>
        <w:gridCol w:w="593"/>
        <w:gridCol w:w="593"/>
        <w:gridCol w:w="196"/>
        <w:gridCol w:w="109"/>
        <w:gridCol w:w="109"/>
        <w:gridCol w:w="109"/>
        <w:gridCol w:w="253"/>
        <w:gridCol w:w="307"/>
        <w:gridCol w:w="131"/>
        <w:gridCol w:w="109"/>
        <w:gridCol w:w="109"/>
        <w:gridCol w:w="109"/>
        <w:gridCol w:w="211"/>
        <w:gridCol w:w="826"/>
        <w:gridCol w:w="109"/>
        <w:gridCol w:w="109"/>
        <w:gridCol w:w="109"/>
        <w:gridCol w:w="109"/>
        <w:gridCol w:w="371"/>
        <w:gridCol w:w="663"/>
        <w:gridCol w:w="194"/>
        <w:gridCol w:w="109"/>
        <w:gridCol w:w="109"/>
        <w:gridCol w:w="109"/>
        <w:gridCol w:w="211"/>
        <w:gridCol w:w="843"/>
        <w:gridCol w:w="109"/>
        <w:gridCol w:w="109"/>
        <w:gridCol w:w="109"/>
        <w:gridCol w:w="109"/>
        <w:gridCol w:w="211"/>
        <w:gridCol w:w="826"/>
        <w:gridCol w:w="157"/>
      </w:tblGrid>
      <w:tr>
        <w:trPr/>
        <w:tc>
          <w:tcPr>
            <w:tcW w:w="76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131,160,842 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153,149 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 during the period,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131,160,842 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pre-funded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3,199,984 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the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investments during the period,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134,494,438 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(791,693)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60,860 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jc w:val="center"/>
        <w:rPr/>
      </w:pPr>
      <w:r>
        <w:rPr/>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PRIME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128"/>
        <w:gridCol w:w="1862"/>
        <w:gridCol w:w="1872"/>
        <w:gridCol w:w="109"/>
        <w:gridCol w:w="109"/>
        <w:gridCol w:w="109"/>
        <w:gridCol w:w="211"/>
        <w:gridCol w:w="794"/>
        <w:gridCol w:w="109"/>
        <w:gridCol w:w="109"/>
        <w:gridCol w:w="109"/>
        <w:gridCol w:w="109"/>
        <w:gridCol w:w="211"/>
        <w:gridCol w:w="899"/>
        <w:gridCol w:w="109"/>
        <w:gridCol w:w="109"/>
        <w:gridCol w:w="109"/>
        <w:gridCol w:w="109"/>
        <w:gridCol w:w="109"/>
        <w:gridCol w:w="109"/>
        <w:gridCol w:w="109"/>
        <w:gridCol w:w="109"/>
        <w:gridCol w:w="109"/>
        <w:gridCol w:w="109"/>
        <w:gridCol w:w="109"/>
        <w:gridCol w:w="109"/>
        <w:gridCol w:w="157"/>
      </w:tblGrid>
      <w:tr>
        <w:trPr/>
        <w:tc>
          <w:tcPr>
            <w:tcW w:w="2128"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premiums and discount on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short-term investment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receivable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stock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ESPP offerings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research and development funding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jc w:val="center"/>
        <w:rPr/>
      </w:pPr>
      <w:r>
        <w:rPr/>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PRIME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130" w:type="dxa"/>
        <w:jc w:val="left"/>
        <w:tblInd w:w="0" w:type="dxa"/>
        <w:tblLayout w:type="fixed"/>
        <w:tblCellMar>
          <w:top w:w="28" w:type="dxa"/>
          <w:left w:w="28" w:type="dxa"/>
          <w:bottom w:w="28" w:type="dxa"/>
          <w:right w:w="28" w:type="dxa"/>
        </w:tblCellMar>
      </w:tblPr>
      <w:tblGrid>
        <w:gridCol w:w="2650"/>
        <w:gridCol w:w="2339"/>
        <w:gridCol w:w="2360"/>
        <w:gridCol w:w="109"/>
        <w:gridCol w:w="109"/>
        <w:gridCol w:w="109"/>
        <w:gridCol w:w="211"/>
        <w:gridCol w:w="721"/>
        <w:gridCol w:w="109"/>
        <w:gridCol w:w="109"/>
        <w:gridCol w:w="109"/>
        <w:gridCol w:w="109"/>
        <w:gridCol w:w="211"/>
        <w:gridCol w:w="721"/>
        <w:gridCol w:w="154"/>
      </w:tblGrid>
      <w:tr>
        <w:trPr/>
        <w:tc>
          <w:tcPr>
            <w:tcW w:w="2650"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349"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right-of-use assets due to lease 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included in 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PRIME MEDICINE,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both"/>
        <w:rPr/>
      </w:pPr>
      <w:r>
        <w:rPr>
          <w:rFonts w:ascii="Times New Roman;serif" w:hAnsi="Times New Roman;serif"/>
          <w:b/>
          <w:color w:val="000000"/>
          <w:sz w:val="20"/>
        </w:rPr>
        <w:t>1.</w:t>
      </w:r>
      <w:r>
        <w:rPr>
          <w:rFonts w:ascii="Times New Roman;serif" w:hAnsi="Times New Roman;serif"/>
          <w:b/>
          <w:color w:val="000000"/>
          <w:sz w:val="20"/>
        </w:rPr>
        <w:t>Nature of the Business and 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Prime Medicine, Inc., together with its consolidated subsidiary, or the Company, is a biotechnology company committed to delivering a new class of differentiated one-time curative treatments. The Company is deploying Prime Editing technology, which it believes is a versatile, precise, and efficient gene editing technology. The Company was incorporated in the State of Delaware in September 2019. Its principal offices are in Cambridge, Massachusetts.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Liquidity and Capital Resources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Since its inception, the Company has devoted substantially all of its resources to building its Prime Editing platform and advancing development of its portfolio of programs, establishing and protecting its intellectual property, conducting research and development activities, organizing and staffing the company, business planning, raising capital and providing general and administrative support for these operations. To date, the Company has funded its operations primarily with proceeds from sales of preferred stock, from public offerings, and private placement of its common stock, and through payments from its collaboration partners.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Since its inception, the Company has incurred substantial losses and, as of June 30, 2026, the Company had an accumulated deficit of $979.6 million. The Company expects to generate operating losses and negative operating cash flows for the foreseeable future. As of June 30, 2026, the Company maintains cash, cash equivalents, and short-term investments of $95.1 million.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0" w:after="180"/>
        <w:jc w:val="both"/>
        <w:rPr/>
      </w:pPr>
      <w:r>
        <w:rPr>
          <w:rFonts w:ascii="Times New Roman;serif" w:hAnsi="Times New Roman;serif"/>
          <w:b w:val="false"/>
          <w:color w:val="000000"/>
          <w:sz w:val="20"/>
        </w:rPr>
        <w:t xml:space="preserve">In accordance with Accounting Standards Codification, or ASC, 205-40, </w:t>
      </w:r>
      <w:r>
        <w:rPr>
          <w:rFonts w:ascii="Times New Roman;serif" w:hAnsi="Times New Roman;serif"/>
          <w:b w:val="false"/>
          <w:i/>
          <w:color w:val="000000"/>
          <w:sz w:val="20"/>
        </w:rPr>
        <w:t>Going Concern</w:t>
      </w:r>
      <w:r>
        <w:rPr>
          <w:rFonts w:ascii="Times New Roman;serif" w:hAnsi="Times New Roman;serif"/>
          <w:b w:val="false"/>
          <w:color w:val="000000"/>
          <w:sz w:val="20"/>
        </w:rPr>
        <w:t>, or ASC 205-40, the Company evaluated whether there are conditions and events, considered in the aggregate, that raise substantial doubt about the Company’s ability to continue as a going concern within one year after the date on which this Quarterly Report on Form 10-Q is filed. Based on the Company's cash, cash equivalents, and short-term investments as of June 30, 2026, the Company's current and forecasted level of operations, and its forecasted cash flows, the Company’s ability to continue as a going concern is dependent upon its ability to obtain the necessary financing to meet its obligations and repay its liabilities arising from normal business operations when they come due. Management plans to provide for the Company’s capital requirements through financing or other transactions, and selling shares under the Company's “at the market offering” program. There can be no assurance that the Company will be able to raise additional capital to fund operations with terms acceptable to the Company, or at all. Because certain elements of management’s plans to mitigate the conditions that raised substantial doubt about the Company’s ability to continue as a going concern are outside of the Company’s control, including the ability to raise capital through an equity or other financing, those elements cannot be considered probable according to ASC 205-40, and therefore cannot be considered in the evaluation of mitigating factors. As a result, management has concluded that substantial doubt exists about the Company’s ability to continue as a going concern for 12 months from the date these condensed consolidated financial statements are issued.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as of June 30, 2026 have been prepared under the assumption that the Company will continue as a going concern for the next 12 months and that contemplates the realization of assets and satisfaction of liabilities and commitments in the normal course of business. The Company’s ability to continue as a going concern is dependent upon its uncertain ability to obtain additional capital, reduce expenditures and/or execute on its business plan. These condensed consolidated financial statements do not include any adjustments that might result from the outcome of this uncertainty.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risks and uncertainties common to early stage companies in the biotechnology industry, including, but not limited to, completing preclinical studies and clinical trials, obtaining regulatory approval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development efforts are successful, it is uncertain when, if ever, the Company will realize significant revenue from product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will need to raise additional capital to support its continuing operations and to pursue its growth strategy. Until such time as the Company can generate significant revenue from product sales, if ever, it expects to finance its operations through a combination of private and public equity offerings, debt financings, collaborations, strategic alliances, licensing, or other arrangements with third parties, or other similar transactions. The Company may be unable to raise additional capital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reflect the operations of the Company and its wholly-owned subsidiary. Intercompany balances and transactions have been eliminated in consolidation. The accompanying condensed consolidated financial statements have been prepared in conformity with generally accepted accounting principles in the United States of America, or the U.S. GAAP. Any reference in these notes to applicable guidance is meant to refer to the authoritative U.S. GAAP as found in the ASC and Accounting Standards Updates, or ASU, of the Financial Accounting Standards Board, or FASB.</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of Prime Medicine, Inc. are unaudited. 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June 30, 2026, the results of its operations for the three and six months ended June 30, 2026 and 2025, the condensed consolidated statements of stockholders’ equity for the three and six months ended June 30, 2026 and 2025, and its cash flows for the six months ended June 30, 2026 and 2025. The financial data and other information disclosed in these notes related to the three and six months ended June 30, 2026 and 2025 are also unaudited. The results for the three and six months ended June 30, 2026 are not necessarily indicative of results to be expected for the year ending December 31, 2026, any other interim periods, or any future year or period. The condensed consolidated balance sheet data as of December 31, 2025 was derived from our audited financial statements, but does not include all disclosures required by U.S. GAAP. These interim financial statements should be read in conjunction with the audited financial statements as of and for the year ended December 31, 2025, and notes thereto, which are included in the Company’s Annual Report on Form 10-K that was filed with the SEC on March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2.</w:t>
      </w:r>
      <w:r>
        <w:rPr>
          <w:rFonts w:ascii="Times New Roman;serif" w:hAnsi="Times New Roman;serif"/>
          <w:b/>
          <w:color w:val="000000"/>
          <w:sz w:val="20"/>
        </w:rPr>
        <w:t>Summary of Significant Accounting Policies</w:t>
      </w:r>
    </w:p>
    <w:p>
      <w:pPr>
        <w:pStyle w:val="TextBody"/>
        <w:bidi w:val="0"/>
        <w:spacing w:lineRule="auto" w:line="288" w:before="0" w:after="180"/>
        <w:jc w:val="both"/>
        <w:rPr/>
      </w:pPr>
      <w:r>
        <w:rPr>
          <w:rFonts w:ascii="Times New Roman;serif" w:hAnsi="Times New Roman;serif"/>
          <w:b w:val="false"/>
          <w:color w:val="000000"/>
          <w:sz w:val="20"/>
        </w:rPr>
        <w:t>The Company’s significant accounting policies are disclosed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in the audited consolidated financial statements for the year ended December 31, 2025, and notes thereto, included in the Company’s Annual Report on Form 10-K that was filed with the SEC on March 3, 2026. Since the date of those financial statements, there have been no material changes to its significant accounting policies.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Company’s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periods. Significant estimates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assumptions reflected within these condensed consolidated financial statements include, but are not limited to, the valuation of the Company’s common stock and stock-based awards.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180"/>
        <w:jc w:val="both"/>
        <w:rPr/>
      </w:pPr>
      <w:r>
        <w:rPr>
          <w:rFonts w:ascii="Times New Roman;serif" w:hAnsi="Times New Roman;serif"/>
          <w:b w:val="false"/>
          <w:color w:val="000000"/>
          <w:sz w:val="20"/>
        </w:rPr>
        <w:t>Under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operating segment is a component of a public entity that 1) engages in business activities from which it may recognize revenues and incur expenses, 2) its operating results are regularly reviewed by the entity’s chief operating decision maker, or CODM, to make decisions about resource allocation or performance assessment, and 3) its discrete financial information is available. The Company operates and manages its business as a single segment for the purposes of assessing performance and making operating decisions.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chief executive officer, who is the CODM, manages and allocates resources to the operations of our company on a total company basis by assessing the overall level of resources available and how to best deploy these resources across functions and research and development projects that are in line with our long-term company-wide strategic goals. In making these decisions, the CODM uses consolidated financial information for purposes of evaluating performance, forecasting future period financial results, allocating resources and setting incentive targets. The CODM performs this assessment based on the Company’s consolidated net loss. Through this analysis, the CODM assesses performance by comparing actual net loss against the budget, and then decides how to allocate resources to invest in the Company’s research and development programs. The measure of segment assets is reported on the condensed consolidated balance sheets as total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additional information on our consolidated net loss, including significant segment expenses:</w:t>
      </w:r>
    </w:p>
    <w:tbl>
      <w:tblPr>
        <w:tblW w:w="9072" w:type="dxa"/>
        <w:jc w:val="left"/>
        <w:tblInd w:w="0" w:type="dxa"/>
        <w:tblLayout w:type="fixed"/>
        <w:tblCellMar>
          <w:top w:w="28" w:type="dxa"/>
          <w:left w:w="28" w:type="dxa"/>
          <w:bottom w:w="28" w:type="dxa"/>
          <w:right w:w="28" w:type="dxa"/>
        </w:tblCellMar>
      </w:tblPr>
      <w:tblGrid>
        <w:gridCol w:w="1143"/>
        <w:gridCol w:w="1002"/>
        <w:gridCol w:w="1005"/>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(104,481)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(1) Other segment items consist of professional and consultant fees, license and intellectual property fees, and general and administrative facility costs.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180"/>
        <w:jc w:val="both"/>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xml:space="preserve">, which requires more detailed information about specified categories of expenses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effective date of this ASU or (2) retrospectively to all prior periods presented in the financial statements. The Company is currently evaluating the impact this ASU will have on its disclosures.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No.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serif" w:hAnsi="Times New Roman;serif"/>
          <w:b w:val="false"/>
          <w:color w:val="000000"/>
          <w:sz w:val="20"/>
        </w:rPr>
        <w:t>. This update introduces a scope exception to derivative accounting for certain contracts with underlyings tied to operations or activities specific to one of the parties. Additionally, the update clarifies that share-based noncash consideration received from a customer should be accounted for under Topic 606 until the right to receive or retain the consideration becomes unconditional. The amendments can be applied prospectively or modified retrospectively and are effective for annual and interim periods beginning after December 15, 2026. The Company does not expect this ASU to have a material impact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improves the navigability of interim reporting guidance. The ASU also addresses the form and content of financial statements, adds lists to ASC 270 of the interim disclosures required by all other codification topics, and establishes a principle under which an entity must “disclose events since the end of the last annual reporting period that have a material impact on the entity.” This ASU is effective for interim reporting periods within annual reporting periods beginning after December 15, 2027, with early adoption permitted. The Company is currently evaluating the impact this ASU will have on its interim disclosures.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accounting standards that have been issued by the FASB or other standards-setting bodies that do not require adoption until a future date are not expected to have a material impact on the Company’s financial statements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3.</w:t>
      </w:r>
      <w:r>
        <w:rPr>
          <w:rFonts w:ascii="Times New Roman;serif" w:hAnsi="Times New Roman;serif"/>
          <w:b/>
          <w:color w:val="000000"/>
          <w:sz w:val="20"/>
        </w:rPr>
        <w:t>Fair Value Measurements and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fair value hierarchy for its assets that are measured at fair value on a recurring basis and indicate the level of the fair value hierarchy utilized to determine such fair value:</w:t>
      </w:r>
    </w:p>
    <w:tbl>
      <w:tblPr>
        <w:tblW w:w="8261" w:type="dxa"/>
        <w:jc w:val="left"/>
        <w:tblInd w:w="0" w:type="dxa"/>
        <w:tblLayout w:type="fixed"/>
        <w:tblCellMar>
          <w:top w:w="28" w:type="dxa"/>
          <w:left w:w="28" w:type="dxa"/>
          <w:bottom w:w="28" w:type="dxa"/>
          <w:right w:w="28" w:type="dxa"/>
        </w:tblCellMar>
      </w:tblPr>
      <w:tblGrid>
        <w:gridCol w:w="1223"/>
        <w:gridCol w:w="1073"/>
        <w:gridCol w:w="1078"/>
        <w:gridCol w:w="109"/>
        <w:gridCol w:w="109"/>
        <w:gridCol w:w="109"/>
        <w:gridCol w:w="211"/>
        <w:gridCol w:w="406"/>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72" w:type="dxa"/>
        <w:jc w:val="left"/>
        <w:tblInd w:w="0" w:type="dxa"/>
        <w:tblLayout w:type="fixed"/>
        <w:tblCellMar>
          <w:top w:w="28" w:type="dxa"/>
          <w:left w:w="28" w:type="dxa"/>
          <w:bottom w:w="28" w:type="dxa"/>
          <w:right w:w="28" w:type="dxa"/>
        </w:tblCellMar>
      </w:tblPr>
      <w:tblGrid>
        <w:gridCol w:w="1223"/>
        <w:gridCol w:w="1073"/>
        <w:gridCol w:w="1079"/>
        <w:gridCol w:w="109"/>
        <w:gridCol w:w="109"/>
        <w:gridCol w:w="109"/>
        <w:gridCol w:w="211"/>
        <w:gridCol w:w="40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investments as short-term based on each instrument’s underlying contractual maturity date. The fair value of investments classified as Level 2 are valued using observable inputs to quoted market prices, benchmark yields, reported trades, broker/dealer quotes or alternative pricing sources with reasonable levels of price transparency.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Investments in Debt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Unrealized gains and losses of investments in debt securities consisted of the following:</w:t>
      </w:r>
    </w:p>
    <w:tbl>
      <w:tblPr>
        <w:tblW w:w="10205" w:type="dxa"/>
        <w:jc w:val="left"/>
        <w:tblInd w:w="0" w:type="dxa"/>
        <w:tblLayout w:type="fixed"/>
        <w:tblCellMar>
          <w:top w:w="28" w:type="dxa"/>
          <w:left w:w="28" w:type="dxa"/>
          <w:bottom w:w="28" w:type="dxa"/>
          <w:right w:w="28" w:type="dxa"/>
        </w:tblCellMar>
      </w:tblPr>
      <w:tblGrid>
        <w:gridCol w:w="1394"/>
        <w:gridCol w:w="1225"/>
        <w:gridCol w:w="1228"/>
        <w:gridCol w:w="109"/>
        <w:gridCol w:w="109"/>
        <w:gridCol w:w="109"/>
        <w:gridCol w:w="251"/>
        <w:gridCol w:w="860"/>
        <w:gridCol w:w="129"/>
        <w:gridCol w:w="109"/>
        <w:gridCol w:w="109"/>
        <w:gridCol w:w="109"/>
        <w:gridCol w:w="389"/>
        <w:gridCol w:w="752"/>
        <w:gridCol w:w="203"/>
        <w:gridCol w:w="109"/>
        <w:gridCol w:w="109"/>
        <w:gridCol w:w="109"/>
        <w:gridCol w:w="490"/>
        <w:gridCol w:w="630"/>
        <w:gridCol w:w="254"/>
        <w:gridCol w:w="109"/>
        <w:gridCol w:w="109"/>
        <w:gridCol w:w="109"/>
        <w:gridCol w:w="211"/>
        <w:gridCol w:w="721"/>
        <w:gridCol w:w="160"/>
      </w:tblGrid>
      <w:tr>
        <w:trPr/>
        <w:tc>
          <w:tcPr>
            <w:tcW w:w="139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3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in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 in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47,629 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47,620 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6"/>
        <w:gridCol w:w="1200"/>
        <w:gridCol w:w="1203"/>
        <w:gridCol w:w="109"/>
        <w:gridCol w:w="109"/>
        <w:gridCol w:w="109"/>
        <w:gridCol w:w="228"/>
        <w:gridCol w:w="895"/>
        <w:gridCol w:w="117"/>
        <w:gridCol w:w="109"/>
        <w:gridCol w:w="109"/>
        <w:gridCol w:w="109"/>
        <w:gridCol w:w="411"/>
        <w:gridCol w:w="706"/>
        <w:gridCol w:w="215"/>
        <w:gridCol w:w="109"/>
        <w:gridCol w:w="109"/>
        <w:gridCol w:w="109"/>
        <w:gridCol w:w="394"/>
        <w:gridCol w:w="761"/>
        <w:gridCol w:w="205"/>
        <w:gridCol w:w="109"/>
        <w:gridCol w:w="109"/>
        <w:gridCol w:w="109"/>
        <w:gridCol w:w="211"/>
        <w:gridCol w:w="826"/>
        <w:gridCol w:w="159"/>
      </w:tblGrid>
      <w:tr>
        <w:trPr/>
        <w:tc>
          <w:tcPr>
            <w:tcW w:w="1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in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 in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114,566 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114,648 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The contractual maturities of the Company’s investments in debt securities were as follows:</w:t>
      </w:r>
    </w:p>
    <w:tbl>
      <w:tblPr>
        <w:tblW w:w="4640" w:type="dxa"/>
        <w:jc w:val="left"/>
        <w:tblInd w:w="0" w:type="dxa"/>
        <w:tblLayout w:type="fixed"/>
        <w:tblCellMar>
          <w:top w:w="28" w:type="dxa"/>
          <w:left w:w="28" w:type="dxa"/>
          <w:bottom w:w="28" w:type="dxa"/>
          <w:right w:w="28" w:type="dxa"/>
        </w:tblCellMar>
      </w:tblPr>
      <w:tblGrid>
        <w:gridCol w:w="636"/>
        <w:gridCol w:w="558"/>
        <w:gridCol w:w="560"/>
        <w:gridCol w:w="109"/>
        <w:gridCol w:w="109"/>
        <w:gridCol w:w="109"/>
        <w:gridCol w:w="211"/>
        <w:gridCol w:w="721"/>
        <w:gridCol w:w="109"/>
        <w:gridCol w:w="109"/>
        <w:gridCol w:w="109"/>
        <w:gridCol w:w="109"/>
        <w:gridCol w:w="211"/>
        <w:gridCol w:w="82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Investments in unrealized loss positions consisted of the following:</w:t>
      </w:r>
    </w:p>
    <w:tbl>
      <w:tblPr>
        <w:tblW w:w="10205" w:type="dxa"/>
        <w:jc w:val="left"/>
        <w:tblInd w:w="0" w:type="dxa"/>
        <w:tblLayout w:type="fixed"/>
        <w:tblCellMar>
          <w:top w:w="28" w:type="dxa"/>
          <w:left w:w="28" w:type="dxa"/>
          <w:bottom w:w="28" w:type="dxa"/>
          <w:right w:w="28" w:type="dxa"/>
        </w:tblCellMar>
      </w:tblPr>
      <w:tblGrid>
        <w:gridCol w:w="1778"/>
        <w:gridCol w:w="1537"/>
        <w:gridCol w:w="1550"/>
        <w:gridCol w:w="109"/>
        <w:gridCol w:w="109"/>
        <w:gridCol w:w="109"/>
        <w:gridCol w:w="509"/>
        <w:gridCol w:w="509"/>
        <w:gridCol w:w="511"/>
        <w:gridCol w:w="109"/>
        <w:gridCol w:w="109"/>
        <w:gridCol w:w="109"/>
        <w:gridCol w:w="211"/>
        <w:gridCol w:w="721"/>
        <w:gridCol w:w="109"/>
        <w:gridCol w:w="109"/>
        <w:gridCol w:w="109"/>
        <w:gridCol w:w="109"/>
        <w:gridCol w:w="590"/>
        <w:gridCol w:w="759"/>
        <w:gridCol w:w="440"/>
      </w:tblGrid>
      <w:tr>
        <w:trPr/>
        <w:tc>
          <w:tcPr>
            <w:tcW w:w="177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4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number of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4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continuous loss position for less than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Based on factors such as historical experience, market data, issuer-specific factors, and current economic conditions, the Company did not record an allowance for credit losses as of June 30, 2026 related to these investments. Further, given the lack of significant change in the credit risk, the Company does not consider these investments to be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80"/>
        <w:jc w:val="both"/>
        <w:rPr/>
      </w:pPr>
      <w:r>
        <w:rPr>
          <w:rFonts w:ascii="Times New Roman;serif" w:hAnsi="Times New Roman;serif"/>
          <w:b/>
          <w:color w:val="000000"/>
          <w:sz w:val="20"/>
        </w:rPr>
        <w:t>4.</w:t>
      </w:r>
      <w:r>
        <w:rPr>
          <w:rFonts w:ascii="Times New Roman;serif" w:hAnsi="Times New Roman;serif"/>
          <w:b/>
          <w:color w:val="000000"/>
          <w:sz w:val="20"/>
        </w:rPr>
        <w:t xml:space="preserve">Property and Equipment, Net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5728" w:type="dxa"/>
        <w:jc w:val="left"/>
        <w:tblInd w:w="0" w:type="dxa"/>
        <w:tblLayout w:type="fixed"/>
        <w:tblCellMar>
          <w:top w:w="28" w:type="dxa"/>
          <w:left w:w="28" w:type="dxa"/>
          <w:bottom w:w="28" w:type="dxa"/>
          <w:right w:w="28" w:type="dxa"/>
        </w:tblCellMar>
      </w:tblPr>
      <w:tblGrid>
        <w:gridCol w:w="1049"/>
        <w:gridCol w:w="921"/>
        <w:gridCol w:w="924"/>
        <w:gridCol w:w="109"/>
        <w:gridCol w:w="109"/>
        <w:gridCol w:w="109"/>
        <w:gridCol w:w="211"/>
        <w:gridCol w:w="721"/>
        <w:gridCol w:w="109"/>
        <w:gridCol w:w="109"/>
        <w:gridCol w:w="109"/>
        <w:gridCol w:w="109"/>
        <w:gridCol w:w="221"/>
        <w:gridCol w:w="757"/>
        <w:gridCol w:w="161"/>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41,006 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is as follows:</w:t>
      </w:r>
    </w:p>
    <w:tbl>
      <w:tblPr>
        <w:tblW w:w="7034" w:type="dxa"/>
        <w:jc w:val="left"/>
        <w:tblInd w:w="0" w:type="dxa"/>
        <w:tblLayout w:type="fixed"/>
        <w:tblCellMar>
          <w:top w:w="28" w:type="dxa"/>
          <w:left w:w="28" w:type="dxa"/>
          <w:bottom w:w="28" w:type="dxa"/>
          <w:right w:w="28" w:type="dxa"/>
        </w:tblCellMar>
      </w:tblPr>
      <w:tblGrid>
        <w:gridCol w:w="679"/>
        <w:gridCol w:w="595"/>
        <w:gridCol w:w="600"/>
        <w:gridCol w:w="109"/>
        <w:gridCol w:w="109"/>
        <w:gridCol w:w="10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5.</w:t>
      </w:r>
      <w:r>
        <w:rPr>
          <w:rFonts w:ascii="Times New Roman;serif" w:hAnsi="Times New Roman;serif"/>
          <w:b/>
          <w:color w:val="000000"/>
          <w:sz w:val="20"/>
        </w:rPr>
        <w:t>Accrued Expenses and Other Current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6989" w:type="dxa"/>
        <w:jc w:val="left"/>
        <w:tblInd w:w="0" w:type="dxa"/>
        <w:tblLayout w:type="fixed"/>
        <w:tblCellMar>
          <w:top w:w="28" w:type="dxa"/>
          <w:left w:w="28" w:type="dxa"/>
          <w:bottom w:w="28" w:type="dxa"/>
          <w:right w:w="28" w:type="dxa"/>
        </w:tblCellMar>
      </w:tblPr>
      <w:tblGrid>
        <w:gridCol w:w="1544"/>
        <w:gridCol w:w="1356"/>
        <w:gridCol w:w="1360"/>
        <w:gridCol w:w="109"/>
        <w:gridCol w:w="109"/>
        <w:gridCol w:w="109"/>
        <w:gridCol w:w="211"/>
        <w:gridCol w:w="616"/>
        <w:gridCol w:w="109"/>
        <w:gridCol w:w="109"/>
        <w:gridCol w:w="109"/>
        <w:gridCol w:w="109"/>
        <w:gridCol w:w="221"/>
        <w:gridCol w:w="757"/>
        <w:gridCol w:w="161"/>
      </w:tblGrid>
      <w:tr>
        <w:trPr/>
        <w:tc>
          <w:tcPr>
            <w:tcW w:w="154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clinical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6.</w:t>
      </w:r>
      <w:r>
        <w:rPr>
          <w:rFonts w:ascii="Times New Roman;serif" w:hAnsi="Times New Roman;serif"/>
          <w:b/>
          <w:color w:val="000000"/>
          <w:sz w:val="20"/>
        </w:rPr>
        <w:t>Leases</w:t>
      </w:r>
    </w:p>
    <w:p>
      <w:pPr>
        <w:pStyle w:val="TextBody"/>
        <w:bidi w:val="0"/>
        <w:spacing w:lineRule="auto" w:line="288" w:before="0" w:after="180"/>
        <w:jc w:val="both"/>
        <w:rPr/>
      </w:pPr>
      <w:r>
        <w:rPr>
          <w:rFonts w:ascii="Times New Roman;serif" w:hAnsi="Times New Roman;serif"/>
          <w:b w:val="false"/>
          <w:color w:val="000000"/>
          <w:sz w:val="20"/>
        </w:rPr>
        <w:t>The Company leases office and laboratory space under various non-cancelable operating leases. The Company’s significant lease agreements are disclosed in Note 9, </w:t>
      </w:r>
      <w:r>
        <w:rPr>
          <w:rFonts w:ascii="Times New Roman;serif" w:hAnsi="Times New Roman;serif"/>
          <w:b w:val="false"/>
          <w:i/>
          <w:color w:val="000000"/>
          <w:sz w:val="20"/>
        </w:rPr>
        <w:t>Leases</w:t>
      </w:r>
      <w:r>
        <w:rPr>
          <w:rFonts w:ascii="Times New Roman;serif" w:hAnsi="Times New Roman;serif"/>
          <w:b w:val="false"/>
          <w:color w:val="000000"/>
          <w:sz w:val="20"/>
        </w:rPr>
        <w:t>, in the audited consolidated financial statements for the year ended December 31, 2025, and notes thereto, included in the Company’s Annual Report on Form 10-K that was filed with the SEC on March 3, 2026. Since the date of those financial statements, there have been no changes to the Company’s significant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the undiscounted future annual lease payments to the total operating lease liabilities recorded in the condensed consolidated balance sheet as of June 30, 2026:</w:t>
      </w:r>
    </w:p>
    <w:tbl>
      <w:tblPr>
        <w:tblW w:w="4503" w:type="dxa"/>
        <w:jc w:val="left"/>
        <w:tblInd w:w="0" w:type="dxa"/>
        <w:tblLayout w:type="fixed"/>
        <w:tblCellMar>
          <w:top w:w="28" w:type="dxa"/>
          <w:left w:w="28" w:type="dxa"/>
          <w:bottom w:w="28" w:type="dxa"/>
          <w:right w:w="28" w:type="dxa"/>
        </w:tblCellMar>
      </w:tblPr>
      <w:tblGrid>
        <w:gridCol w:w="1082"/>
        <w:gridCol w:w="949"/>
        <w:gridCol w:w="954"/>
        <w:gridCol w:w="109"/>
        <w:gridCol w:w="109"/>
        <w:gridCol w:w="109"/>
        <w:gridCol w:w="211"/>
        <w:gridCol w:w="82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Undiscounted</w:t>
              <w:br/>
              <w:t>Amounts</w:t>
            </w:r>
          </w:p>
        </w:tc>
      </w:tr>
      <w:tr>
        <w:trPr/>
        <w:tc>
          <w:tcPr>
            <w:tcW w:w="2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in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7.</w:t>
      </w:r>
      <w:r>
        <w:rPr>
          <w:rFonts w:ascii="Times New Roman;serif" w:hAnsi="Times New Roman;serif"/>
          <w:b/>
          <w:color w:val="000000"/>
          <w:sz w:val="20"/>
        </w:rPr>
        <w:t>Stockholders’ Equity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Company’s Third Amended and Restated Certificate of Incorporation, as amended, the Company’s common stock had a par value of $0.00001 and each share of common stock entitles the holder to one vote on all matters submitted to the stockholders for a vote. The holders of common stock are entitled to receive dividends, if any, as declared by the Company’s Board of Directors, or the Board of Directors.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At-The-Market Equity Program</w:t>
      </w:r>
    </w:p>
    <w:p>
      <w:pPr>
        <w:pStyle w:val="TextBody"/>
        <w:bidi w:val="0"/>
        <w:spacing w:lineRule="auto" w:line="288" w:before="0" w:after="180"/>
        <w:jc w:val="both"/>
        <w:rPr/>
      </w:pPr>
      <w:r>
        <w:rPr>
          <w:rFonts w:ascii="Times New Roman;serif" w:hAnsi="Times New Roman;serif"/>
          <w:b w:val="false"/>
          <w:color w:val="000000"/>
          <w:sz w:val="20"/>
        </w:rPr>
        <w:t>In November 2023, the Company entered into Open Market Sale Agreement</w:t>
      </w:r>
      <w:r>
        <w:rPr>
          <w:rFonts w:ascii="Times New Roman;serif" w:hAnsi="Times New Roman;serif"/>
          <w:b w:val="false"/>
          <w:color w:val="000000"/>
          <w:sz w:val="13"/>
        </w:rPr>
        <w:t>SM</w:t>
      </w:r>
      <w:r>
        <w:rPr>
          <w:rFonts w:ascii="Times New Roman;serif" w:hAnsi="Times New Roman;serif"/>
          <w:b w:val="false"/>
          <w:color w:val="000000"/>
          <w:sz w:val="20"/>
        </w:rPr>
        <w:t>, or the Sales Agreement, with Jefferies LLC, or Jefferies, acting as the Company’s agent and/or principal, or the Sales Agent, with respect to an “at the market offering” program under which the Company may, from time to time, at its sole discretion, issue and sell shares of its common stock having an aggregate offering price of up to $300.0 million through the Sales Agent, or the 2023 ATM Program. Pursuant to the Sales Agreement, any shares will be sold pursuant to the shelf registration statement on Form S-3 (File No. 333-291348), originally filed with the SEC on Form S-3ASR on November 7, 2025, and converted to Form S-3 by post-effective amendments effective March 4, 2026, including the base prospectus and sales agreement prospectus contained therein (as amended), or the New Registration Statement. Any shares will be sold pursuant to the New Registration Statement and the sales agreement prospectus filed therewith, or the ATM Prospectus, which covers the offer and sale of shares of the Company’s common stock under the 2023 ATM Program having an aggregate offering price of up to $200.0 million of the $300.0 million authorized under the Sales Agreement. If the Company wishes to offer and sell additional shares of its common stock under the Sales Agreement in excess of the $200.0 million registered under the New Registration Statement, for up to an additional $100.0 million, the Company must file with the SEC one or more additional prospectus supplements to register under the Securities Act, the offer and sale of any such additional shares. The common stock will be sold at prevailing market prices at the time of the sale, and as a result, prices may vary.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8.</w:t>
      </w:r>
      <w:r>
        <w:rPr>
          <w:rFonts w:ascii="Times New Roman;serif" w:hAnsi="Times New Roman;serif"/>
          <w:b/>
          <w:color w:val="000000"/>
          <w:sz w:val="20"/>
        </w:rPr>
        <w:t>Stock-Based Compensation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2019 Stock Option and Grant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2019 Stock Option and Grant Plan, or the 2019 Plan, provided for the Company to grant incentive stock options, non-qualified stock options, unrestricted stock awards, restricted stock awards and other stock-based awards to the officers, employees, consultants and other key persons of the Company. In October 2022, in connection with the closing of the Company’s initial public offering, the Board of Directors determined that no further awards would be granted under the 2019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2022 Stock Option and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9, 2022, the Board of Directors adopted, and on October 10, 2022, the Company’s stockholders approved, the 2022 Stock Option and Incentive Plan, or the 2022 Plan, which became effective on October 18, 2022. The 2022 Plan allows the Company to make equity-based and cash-based incentive awards to its officers, employees, directors, and consultants. The 2022 Plan provides for the grant of incentive stock options, non-qualified stock options, stock appreciation rights, restricted stock awards, restricted stock units and other stock-based awards.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shares of common stock underlying any awards under the 2022 Plan and the 2019 Plan that are forfeited, cancelled, held back upon exercise or settlement of an award to satisfy the exercise price or tax withholding, reacquired by the Company prior to vesting, satisfied without the issuance of stock, expire, or are otherwise terminated (other than by exercise) will be added back to the shares of common stock available for issuance under the 2022 Plan. The number of shares reserved and available for issuance under the 2022 Plan increased on January 1, 2023 and will increase on each January 1 hereafter, by five percent of the outstanding number of shares of common stock on the immediately preceding December 31 or such lesser number of shares as determined by the Compensation Committee of the Board of Directors. On January 1, 2026, the annual increase resulted in an additional 9,025,700 shares authorized being added to the 2022 Plan. As of June 30, 2026, the Company had 34,772,406 shares reserved under the 2022 Plan and the 2019 Plan, and 10,808,408 shares available for issuance under the 2022 Plan.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2022 Employee Stock Purchase Plan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9, 2022, the Board of Directors adopted, and on October 10, 2022, the Company’s stockholders approved, the 2022 Employee Stock Purchase Plan, or the 2022 ESPP, which became effective on October 18, 2022.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number of shares of common stock that may be issued under the 2022 ESPP cumulatively increased beginning on January 1, 2023 and shall increase on each January 1 hereafter through January 1, 2032, by the least of (i) 971,350 shares of common stock, (ii) one percent of the outstanding number of shares of common stock on the immediately preceding December 31, or (iii) such number of shares of common stock as determined by the administrator of the 2022 ESPP. There was no annual increase for the 2022 ESPP on January 1, 2026. As of June 30, 2026, the Company had 1,409,915 shares available for issuance under the 2022 ESPP.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issued 112,110 shares of the Company’s common stock under the 2022 ESPP.</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 Options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Company’s time-based stock option activity for the six months ended June 30, 2026:</w:t>
      </w:r>
    </w:p>
    <w:tbl>
      <w:tblPr>
        <w:tblW w:w="7820" w:type="dxa"/>
        <w:jc w:val="center"/>
        <w:tblInd w:w="0" w:type="dxa"/>
        <w:tblLayout w:type="fixed"/>
        <w:tblCellMar>
          <w:top w:w="28" w:type="dxa"/>
          <w:left w:w="28" w:type="dxa"/>
          <w:bottom w:w="28" w:type="dxa"/>
          <w:right w:w="28" w:type="dxa"/>
        </w:tblCellMar>
      </w:tblPr>
      <w:tblGrid>
        <w:gridCol w:w="1603"/>
        <w:gridCol w:w="1407"/>
        <w:gridCol w:w="1415"/>
        <w:gridCol w:w="540"/>
        <w:gridCol w:w="541"/>
        <w:gridCol w:w="471"/>
        <w:gridCol w:w="109"/>
        <w:gridCol w:w="109"/>
        <w:gridCol w:w="109"/>
        <w:gridCol w:w="309"/>
        <w:gridCol w:w="749"/>
        <w:gridCol w:w="458"/>
      </w:tblGrid>
      <w:tr>
        <w:trPr/>
        <w:tc>
          <w:tcPr>
            <w:tcW w:w="16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15,637,303 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7,171,115 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45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(111,424)</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45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(962,560)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21,734,434 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at June 30, 2026</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9,420,268 </w:t>
            </w:r>
          </w:p>
        </w:tc>
        <w:tc>
          <w:tcPr>
            <w:tcW w:w="4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4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at June 30, 2026</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21,734,434 </w:t>
            </w:r>
          </w:p>
        </w:tc>
        <w:tc>
          <w:tcPr>
            <w:tcW w:w="4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4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shd w:fill="FFFFFF" w:val="clear"/>
        </w:rPr>
        <w:t xml:space="preserve">As of June 30, 2026, there was </w:t>
      </w:r>
      <w:r>
        <w:rPr>
          <w:rFonts w:ascii="Times New Roman;serif" w:hAnsi="Times New Roman;serif"/>
          <w:b w:val="false"/>
          <w:color w:val="000000"/>
          <w:sz w:val="20"/>
        </w:rPr>
        <w:t>$33.7 million</w:t>
      </w:r>
      <w:r>
        <w:rPr>
          <w:color w:val="000000"/>
          <w:shd w:fill="FFFFFF" w:val="clear"/>
        </w:rPr>
        <w:t xml:space="preserve"> </w:t>
      </w:r>
      <w:r>
        <w:rPr>
          <w:rFonts w:ascii="Times New Roman;serif" w:hAnsi="Times New Roman;serif"/>
          <w:b w:val="false"/>
          <w:color w:val="000000"/>
          <w:sz w:val="20"/>
          <w:shd w:fill="FFFFFF" w:val="clear"/>
        </w:rPr>
        <w:t xml:space="preserve">of total unrecognized compensation cost related to time-based stock options, including incremental expense related to the Company’s option repricing announced in August 2025. The Company expects to recognize such amount over a remaining weighted-average period of </w:t>
      </w:r>
      <w:r>
        <w:rPr>
          <w:rFonts w:ascii="Times New Roman;serif" w:hAnsi="Times New Roman;serif"/>
          <w:b w:val="false"/>
          <w:color w:val="000000"/>
          <w:sz w:val="20"/>
        </w:rPr>
        <w:t>2.8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Performance-Based Stock Options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Company’s performance-based stock option activity for the six months ended June 30, 2026:</w:t>
      </w:r>
    </w:p>
    <w:tbl>
      <w:tblPr>
        <w:tblW w:w="6976" w:type="dxa"/>
        <w:jc w:val="left"/>
        <w:tblInd w:w="0" w:type="dxa"/>
        <w:tblLayout w:type="fixed"/>
        <w:tblCellMar>
          <w:top w:w="28" w:type="dxa"/>
          <w:left w:w="28" w:type="dxa"/>
          <w:bottom w:w="28" w:type="dxa"/>
          <w:right w:w="28" w:type="dxa"/>
        </w:tblCellMar>
      </w:tblPr>
      <w:tblGrid>
        <w:gridCol w:w="1217"/>
        <w:gridCol w:w="1068"/>
        <w:gridCol w:w="1074"/>
        <w:gridCol w:w="109"/>
        <w:gridCol w:w="109"/>
        <w:gridCol w:w="109"/>
        <w:gridCol w:w="488"/>
        <w:gridCol w:w="488"/>
        <w:gridCol w:w="471"/>
        <w:gridCol w:w="109"/>
        <w:gridCol w:w="109"/>
        <w:gridCol w:w="109"/>
        <w:gridCol w:w="309"/>
        <w:gridCol w:w="749"/>
        <w:gridCol w:w="458"/>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2,029,564 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1,929,564 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813,480 </w:t>
            </w:r>
          </w:p>
        </w:tc>
        <w:tc>
          <w:tcPr>
            <w:tcW w:w="4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4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shd w:fill="FFFFFF" w:val="clear"/>
        </w:rPr>
        <w:t xml:space="preserve">As of June 30, 2026, there was </w:t>
      </w:r>
      <w:r>
        <w:rPr>
          <w:rFonts w:ascii="Times New Roman;serif" w:hAnsi="Times New Roman;serif"/>
          <w:b w:val="false"/>
          <w:color w:val="000000"/>
          <w:sz w:val="20"/>
        </w:rPr>
        <w:t>$2.2 million</w:t>
      </w:r>
      <w:r>
        <w:rPr>
          <w:color w:val="000000"/>
          <w:shd w:fill="FFFFFF" w:val="clear"/>
        </w:rPr>
        <w:t xml:space="preserve"> </w:t>
      </w:r>
      <w:r>
        <w:rPr>
          <w:rFonts w:ascii="Times New Roman;serif" w:hAnsi="Times New Roman;serif"/>
          <w:b w:val="false"/>
          <w:color w:val="000000"/>
          <w:sz w:val="20"/>
          <w:shd w:fill="FFFFFF" w:val="clear"/>
        </w:rPr>
        <w:t>of total unrecognized compensation cost related to performance-based stock options.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below summarizes the classification of the Company’s stock-based compensation expense related to stock options and restricted common stock awards in the condensed consolidated statements of operations and comprehensive loss:</w:t>
      </w:r>
    </w:p>
    <w:tbl>
      <w:tblPr>
        <w:tblW w:w="8652" w:type="dxa"/>
        <w:jc w:val="left"/>
        <w:tblInd w:w="0" w:type="dxa"/>
        <w:tblLayout w:type="fixed"/>
        <w:tblCellMar>
          <w:top w:w="28" w:type="dxa"/>
          <w:left w:w="28" w:type="dxa"/>
          <w:bottom w:w="28" w:type="dxa"/>
          <w:right w:w="28" w:type="dxa"/>
        </w:tblCellMar>
      </w:tblPr>
      <w:tblGrid>
        <w:gridCol w:w="1245"/>
        <w:gridCol w:w="1097"/>
        <w:gridCol w:w="110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9.</w:t>
      </w:r>
      <w:r>
        <w:rPr>
          <w:rFonts w:ascii="Times New Roman;serif" w:hAnsi="Times New Roman;serif"/>
          <w:b/>
          <w:color w:val="000000"/>
          <w:sz w:val="20"/>
        </w:rPr>
        <w:t xml:space="preserve">Significant Agreements </w:t>
      </w:r>
    </w:p>
    <w:p>
      <w:pPr>
        <w:pStyle w:val="TextBody"/>
        <w:bidi w:val="0"/>
        <w:spacing w:lineRule="auto" w:line="288" w:before="0" w:after="180"/>
        <w:jc w:val="both"/>
        <w:rPr/>
      </w:pPr>
      <w:r>
        <w:rPr>
          <w:rFonts w:ascii="Times New Roman;serif" w:hAnsi="Times New Roman;serif"/>
          <w:b w:val="false"/>
          <w:color w:val="000000"/>
          <w:sz w:val="20"/>
        </w:rPr>
        <w:t xml:space="preserve">The Company’s significant agreements are disclosed in Note 9, </w:t>
      </w:r>
      <w:r>
        <w:rPr>
          <w:rFonts w:ascii="Times New Roman;serif" w:hAnsi="Times New Roman;serif"/>
          <w:b w:val="false"/>
          <w:i/>
          <w:color w:val="000000"/>
          <w:sz w:val="20"/>
        </w:rPr>
        <w:t>License and Collaboration Agreements</w:t>
      </w:r>
      <w:r>
        <w:rPr>
          <w:rFonts w:ascii="Times New Roman;serif" w:hAnsi="Times New Roman;serif"/>
          <w:b w:val="false"/>
          <w:color w:val="000000"/>
          <w:sz w:val="20"/>
        </w:rPr>
        <w:t>, in the audited consolidated financial statements for the year ended December 31, 2025, and notes thereto, included in the Company’s Annual Report on Form 10-K that was filed with the SEC on March 3, 2026. Since the date of those financial statements, there have been no changes to the Company’s significant agreements except those discussed below.</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Bristol-Myers Squibb — Related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Supplemental information related to the Research Collaboration and License Agreement, or the BMS Collaboration Agreement, with Juno Therapeutics, Inc., a wholly-owned subsidiary of the Bristol-Myers Squibb Company, or BMS, consisted of the following:</w:t>
      </w:r>
    </w:p>
    <w:tbl>
      <w:tblPr>
        <w:tblW w:w="6808" w:type="dxa"/>
        <w:jc w:val="left"/>
        <w:tblInd w:w="0" w:type="dxa"/>
        <w:tblLayout w:type="fixed"/>
        <w:tblCellMar>
          <w:top w:w="28" w:type="dxa"/>
          <w:left w:w="28" w:type="dxa"/>
          <w:bottom w:w="28" w:type="dxa"/>
          <w:right w:w="28" w:type="dxa"/>
        </w:tblCellMar>
      </w:tblPr>
      <w:tblGrid>
        <w:gridCol w:w="1441"/>
        <w:gridCol w:w="1265"/>
        <w:gridCol w:w="1268"/>
        <w:gridCol w:w="109"/>
        <w:gridCol w:w="109"/>
        <w:gridCol w:w="109"/>
        <w:gridCol w:w="211"/>
        <w:gridCol w:w="721"/>
        <w:gridCol w:w="109"/>
        <w:gridCol w:w="109"/>
        <w:gridCol w:w="109"/>
        <w:gridCol w:w="109"/>
        <w:gridCol w:w="221"/>
        <w:gridCol w:w="757"/>
        <w:gridCol w:w="161"/>
      </w:tblGrid>
      <w:tr>
        <w:trPr/>
        <w:tc>
          <w:tcPr>
            <w:tcW w:w="144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1892"/>
        <w:gridCol w:w="1623"/>
        <w:gridCol w:w="159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892"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1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that was included in contract liability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performance obligations fully or partially satisfied in previous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 aggregate amount of the transaction price allocated to performance obligations under the BMS Collaboration Agreement that are partially unsatisfied was $64.0 million. The Company recognizes the portion of the transaction price as the single performance obligation is satisfied, using an input method, in proportion to costs incurred to date as compared to total costs incurred and expected to be incurred in the future to satisfy the underlying obligation.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Beam Collaboration Agreement — Related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was engaged in binding arbitration proceedings with Beam Therapeutics, Inc., or Beam, regarding the parties’ collaboration and license agreement, or the Beam Collaboration Agreement. A dispute arose between the parties following the Company’s March 18, 2025 announcement that it is developing a Prime Editing-based treatment for alpha-1 antitrypsin deficiency, or AATD. On April 16, 2025, Beam filed an arbitration demand with the American Arbitration Association, or AAA, alleging that the Company has breached the Beam Collaboration Agreement by developing a product for the treatment of AATD and by allegedly not complying with certain obligations to transfer technical information to Beam pursuant to the Beam Collaboration Agreement. Beam also made related claims for trade secret misappropriation and various business torts based on similar allegations. Beam sought both declaratory, injunctive, and monetary relief. On April 18, 2025, the Company filed an arbitration demand with the AAA seeking a declaration that the Company’s AATD program is within our “Field” as defined by the Beam Collaboration Agreement. The arbitrations were consolidated and a hearing was conducted earlier this year.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6, 2026, the Company received a final award, or the Final Award, from the arbitration tribunal, or the Tribunal. In the Final Award, the Tribunal declared that PM647, the Company's development candidate for the treatment of AATD, is within the Company's “Field,” and that the Company therefore did not breach the Beam Collaboration Agreement. Consequently, the Tribunal denied Beam's requests for damages and injunctive relief based on Beam's assertion that Prime breached the Beam Collaboration Agreement. The Tribunal denied the remaining claims brought by Beam and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10.</w:t>
      </w:r>
      <w:r>
        <w:rPr>
          <w:rFonts w:ascii="Times New Roman;serif" w:hAnsi="Times New Roman;serif"/>
          <w:b/>
          <w:color w:val="000000"/>
          <w:sz w:val="20"/>
        </w:rPr>
        <w:t xml:space="preserve">Net Loss per Share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common share attributable to common stockholders was calculated as follows:</w:t>
      </w:r>
    </w:p>
    <w:tbl>
      <w:tblPr>
        <w:tblW w:w="10205" w:type="dxa"/>
        <w:jc w:val="left"/>
        <w:tblInd w:w="0" w:type="dxa"/>
        <w:tblLayout w:type="fixed"/>
        <w:tblCellMar>
          <w:top w:w="28" w:type="dxa"/>
          <w:left w:w="28" w:type="dxa"/>
          <w:bottom w:w="28" w:type="dxa"/>
          <w:right w:w="28" w:type="dxa"/>
        </w:tblCellMar>
      </w:tblPr>
      <w:tblGrid>
        <w:gridCol w:w="1585"/>
        <w:gridCol w:w="1039"/>
        <w:gridCol w:w="1047"/>
        <w:gridCol w:w="109"/>
        <w:gridCol w:w="109"/>
        <w:gridCol w:w="109"/>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37"/>
        <w:gridCol w:w="949"/>
        <w:gridCol w:w="155"/>
      </w:tblGrid>
      <w:tr>
        <w:trPr/>
        <w:tc>
          <w:tcPr>
            <w:tcW w:w="15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6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177,224,892 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129,185,918 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177,160,914 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128,439,349 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Diluted net loss per share available to common stockholders is computed by giving effect to all potentially dilutive common stock equivalents outstanding for the period. For purposes of this calculation, outstanding time-based stock options to purchase common stock, vested performance-based stock options to purchase common stock,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unvested performance-based restricted stock awards were considered common stock equivalents but had been excluded from the calculation of diluted net loss per share available to common stockholders as their effect was anti-dilutive. In periods in which the Company reports a net loss available to common stockholders, diluted net loss per share available to common stockholders is the same as basic net loss per share available to common stockholders, since dilutive common shares are not assumed to have been issued if their effect is anti-dilutive.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common stock equivalents were excluded from the calculation of diluted net loss per share applicable to common stockholders for the periods indicated because including them would have had an anti-dilutive effect:</w:t>
      </w:r>
    </w:p>
    <w:tbl>
      <w:tblPr>
        <w:tblW w:w="8317" w:type="dxa"/>
        <w:jc w:val="left"/>
        <w:tblInd w:w="0" w:type="dxa"/>
        <w:tblLayout w:type="fixed"/>
        <w:tblCellMar>
          <w:top w:w="28" w:type="dxa"/>
          <w:left w:w="28" w:type="dxa"/>
          <w:bottom w:w="28" w:type="dxa"/>
          <w:right w:w="28" w:type="dxa"/>
        </w:tblCellMar>
      </w:tblPr>
      <w:tblGrid>
        <w:gridCol w:w="1844"/>
        <w:gridCol w:w="1616"/>
        <w:gridCol w:w="1625"/>
        <w:gridCol w:w="109"/>
        <w:gridCol w:w="109"/>
        <w:gridCol w:w="109"/>
        <w:gridCol w:w="540"/>
        <w:gridCol w:w="541"/>
        <w:gridCol w:w="156"/>
        <w:gridCol w:w="125"/>
        <w:gridCol w:w="125"/>
        <w:gridCol w:w="125"/>
        <w:gridCol w:w="540"/>
        <w:gridCol w:w="541"/>
        <w:gridCol w:w="212"/>
      </w:tblGrid>
      <w:tr>
        <w:trPr/>
        <w:tc>
          <w:tcPr>
            <w:tcW w:w="1844"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common stock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22,547,914 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17,685,319 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performance-based restricted common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3,472,546 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3,472,546 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common stock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26,020,460 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21,157,865 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180"/>
        <w:jc w:val="both"/>
        <w:rPr/>
      </w:pPr>
      <w:r>
        <w:rPr>
          <w:rFonts w:ascii="Times New Roman;serif" w:hAnsi="Times New Roman;serif"/>
          <w:b w:val="false"/>
          <w:i/>
          <w:color w:val="000000"/>
          <w:sz w:val="20"/>
        </w:rPr>
        <w:t>You should read the following discussion and analysis of our financial condition and results of operations together with our condensed</w:t>
      </w:r>
      <w:r>
        <w:rPr>
          <w:color w:val="000000"/>
        </w:rPr>
        <w:t xml:space="preserve"> </w:t>
      </w:r>
      <w:r>
        <w:rPr>
          <w:rFonts w:ascii="Times New Roman;serif" w:hAnsi="Times New Roman;serif"/>
          <w:b w:val="false"/>
          <w:i/>
          <w:color w:val="000000"/>
          <w:sz w:val="20"/>
        </w:rPr>
        <w:t>consolidated financial statements and the related notes thereto included elsewhere in this Quarterly Report on Form 10-Q and our audited consolidated financial statements and notes and Management’s Discussion and Analysis of Financial Condition and Results of Operations, included in our Annual Report on Form 10-K for the year ended December 31, 2025, filed with the SEC on March 3, 2026. As discussed in the section titled “Special Note Regarding Forward-Looking Statements,” the following discussion and analysis contains forward-looking statements that involve risks and uncertainties, such as statements regarding our plans, objectives, expectations, intentions, or projections, as well as assumptions that, if they never materialize or prove incorrect, could cause our results to differ materially from those discussed in these forward-looking statements. Factors that could cause or contribute to such differences include, but are not limited to, those discussed in the “Risk Factors” section of our Annual Report on Form 10-K for the year ended December 31, 2025.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 biotechnology company focused on developing a new class of genetic medicines designed to provide durable, and potentially curative, treatment options for patients with diseases driven by defined genetic alterations, acquired cellular dysfunction, or dysregulated gene expression.</w:t>
      </w:r>
    </w:p>
    <w:p>
      <w:pPr>
        <w:pStyle w:val="TextBody"/>
        <w:bidi w:val="0"/>
        <w:spacing w:lineRule="auto" w:line="288" w:before="0" w:after="180"/>
        <w:jc w:val="both"/>
        <w:rPr/>
      </w:pPr>
      <w:r>
        <w:rPr>
          <w:rFonts w:ascii="Times New Roman;serif" w:hAnsi="Times New Roman;serif"/>
          <w:b w:val="false"/>
          <w:color w:val="000000"/>
          <w:sz w:val="20"/>
        </w:rPr>
        <w:t xml:space="preserve">We are advancing our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programs to cure two of the largest genetic liver diseases, Wilson disease and AATD. In June 2026, we received clearance of the CTA for PM577a, an investigational Prime Editor for Wilson disease, in New Zealand, representing the first clinical authorization for one of our </w:t>
      </w:r>
      <w:r>
        <w:rPr>
          <w:rFonts w:ascii="Times New Roman;serif" w:hAnsi="Times New Roman;serif"/>
          <w:b w:val="false"/>
          <w:i/>
          <w:color w:val="000000"/>
          <w:sz w:val="20"/>
        </w:rPr>
        <w:t xml:space="preserve">in vivo </w:t>
      </w:r>
      <w:r>
        <w:rPr>
          <w:rFonts w:ascii="Times New Roman;serif" w:hAnsi="Times New Roman;serif"/>
          <w:b w:val="false"/>
          <w:color w:val="000000"/>
          <w:sz w:val="20"/>
        </w:rPr>
        <w:t>Prime Editing therapies and enabling the initiation of our global Phase 1/2 clinical trial. In July 2026, the FDA cleared our IND application for PM577a. The IND clearance opens participation in our global Phase 1/2 clinical trial to patients in the United States, where H1069Q is the single most common pathogenic variant causing Wilson disease. Additionally, we are on track for IND application submission and/or CTA filing in the third quarter of 2026 for PM647 in AATD. We intend to leverage the modularity of our platform to expeditiously and efficiently develop these programs supported by our universal liver lipid nanoparticle along with potential regulatory, clinical and other synergies from our modular technology.</w:t>
      </w:r>
    </w:p>
    <w:p>
      <w:pPr>
        <w:pStyle w:val="TextBody"/>
        <w:bidi w:val="0"/>
        <w:spacing w:lineRule="auto" w:line="288" w:before="0" w:after="180"/>
        <w:jc w:val="both"/>
        <w:rPr/>
      </w:pPr>
      <w:r>
        <w:rPr>
          <w:rFonts w:ascii="Times New Roman;serif" w:hAnsi="Times New Roman;serif"/>
          <w:b w:val="false"/>
          <w:color w:val="000000"/>
          <w:sz w:val="20"/>
        </w:rPr>
        <w:t xml:space="preserve">We also continue to advance our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Cystic Fibrosis program with support from Cystic Fibrosis Foundation and our efforts to develop Prime Edited CAR-T products for hematology, immunology, and oncology in partnership with BMS. In addition, we will continue to pursue additional business development opportunities to accelerate innovation, ensure the broadest application of Prime Editing, and further bolster our financial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August 2025, we announced additional data from the first patient dosed and initial data from the second patient dosed in our Phase 1/2 trial in CGD. We continue to engage in regulatory dialogue with the FDA toward a Biologics License Application submission for PM359, which is planned for the first half of 2027. In June 2026, the FDA granted RMAT designation for PM359, which provides opportunities for intensive FDA guidance and potential expedited review during the program’s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product sales and do not expect to generate any revenue from the sale of products for the foreseeable future. Our revenues to date have been generated through research collaboration and license agreements. We recognize revenue over the expected performance period under each agreement. We expect that our revenue for the next several years will be derived primarily from our current collaboration agreements and any additional collaborations that we may enter into in the future. To date, we have not received any royalties under any of our existing collaboration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in connection with the development and research of our immediate target indications and our differentiation target indications. These expenses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personnel-related expenses, including salaries, bonuses, benefits and stock-based compensation for employees engaged in manufacturing, and research and development functions;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expenses incurred in connection with continuing our current research programs and preclinical and clinical development of any product candidates we may identify, including under agreements with third parties, such as consultants and contractors;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cost of developing and validating our manufacturing process for use in our preclinical and clinical studies;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laboratory supplies and research materials;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facilities, depreciation and other expenses related to research and development activities, which include direct or allocated expenses for rent and maintenance of facilities, and utilities;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cost allocated to acquire in-process research and development, with no alternative future use associated with asset acquisitions or transactions to license intellectual property, such as our Broad License Agreement;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expenses incurred in connection with our Pledge to Broad Institute.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expense all research and development costs in the periods in which they are incurred. Most of our research and development expenses have been related to early stage development activities. In the future, external research and development costs for any individual product candidate will be tracked commencing upon product candidate nomination. We do not allocate employee costs, costs associated with our discovery efforts, laboratory supplies, and facilities expenses, including depreciation or other indirect costs, to specific product development programs because these costs are deployed across multiple programs and our platform and, as such, are not separately classified.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Upfront and milestone payments made are accrued for and expensed when the achievement of the milestone is probable up to the point of regulatory approval. Milestone payments made upon regulatory approval will be capitalized and amortized over the remaining useful life of the related product.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may continue to increase in the future with our planned research and development activities related to developing any future product candidates, including investments in manufacturing, as we advance any product candidates we may identify and begin to conduct clinical trials, and with our obligations under the BMS Collaboration Agreement.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salaries and personnel-related costs, including stock-based compensation, for our personnel in executive, legal, finance and accounting, human resources and other administrative functions. General and administrative expenses also include legal fees relating to patents and corporate matters; professional fees paid for accounting, auditing, consulting and tax service; insurance costs; office and information technology costs; and facilities, depreciation and other general and administrative expenses, which include direct or allocated expenses for rent and maintenance of facilities and utilities.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anticipate that our general and administrative expenses will increase in the future if we increase our headcount to support research and development activities; increased accounting, legal, insurance, and investor and public relations costs as we continue to operate as a public company; and additional intellectual property-related expenses as we file patent applications to protect innovations arising from our research and development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Other Income (Expense)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income (expense), net primarily consists of interest and amortization related to our short-term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Comparison of the Three Months Ended June 30, 2026 and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7838" w:type="dxa"/>
        <w:jc w:val="left"/>
        <w:tblInd w:w="0" w:type="dxa"/>
        <w:tblLayout w:type="fixed"/>
        <w:tblCellMar>
          <w:top w:w="28" w:type="dxa"/>
          <w:left w:w="28" w:type="dxa"/>
          <w:bottom w:w="28" w:type="dxa"/>
          <w:right w:w="28" w:type="dxa"/>
        </w:tblCellMar>
      </w:tblPr>
      <w:tblGrid>
        <w:gridCol w:w="1345"/>
        <w:gridCol w:w="1182"/>
        <w:gridCol w:w="1192"/>
        <w:gridCol w:w="109"/>
        <w:gridCol w:w="109"/>
        <w:gridCol w:w="109"/>
        <w:gridCol w:w="211"/>
        <w:gridCol w:w="721"/>
        <w:gridCol w:w="109"/>
        <w:gridCol w:w="109"/>
        <w:gridCol w:w="109"/>
        <w:gridCol w:w="109"/>
        <w:gridCol w:w="211"/>
        <w:gridCol w:w="721"/>
        <w:gridCol w:w="109"/>
        <w:gridCol w:w="109"/>
        <w:gridCol w:w="109"/>
        <w:gridCol w:w="109"/>
        <w:gridCol w:w="211"/>
        <w:gridCol w:w="691"/>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consultant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intellectual property fees,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$8.0 million decrease in research and development expenses for the three months ended June 30, 2026 as compared to the three months ended June 30, 2025 was primarily driven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$3.6 million decrease in personnel expenses, driven primarily by fewer personnel-related costs resulting from the workforce reduction announced in May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$3.2 million decrease in facility costs primarily related to cost savings realized from bringing our vivarium in-house;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$2.0 million decrease in research costs as we advance our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liver franchise from research towards IND application submission and potential clinical trials;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$1.1 million decrease in license and IP costs primarily due to license fees recognized in the second quarter of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were offset by a $1.5 million increase in clinical expenses as we advance our Wilson disease and AATD programs.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tbl>
      <w:tblPr>
        <w:tblW w:w="7659" w:type="dxa"/>
        <w:jc w:val="left"/>
        <w:tblInd w:w="0" w:type="dxa"/>
        <w:tblLayout w:type="fixed"/>
        <w:tblCellMar>
          <w:top w:w="28" w:type="dxa"/>
          <w:left w:w="28" w:type="dxa"/>
          <w:bottom w:w="28" w:type="dxa"/>
          <w:right w:w="28" w:type="dxa"/>
        </w:tblCellMar>
      </w:tblPr>
      <w:tblGrid>
        <w:gridCol w:w="1283"/>
        <w:gridCol w:w="1124"/>
        <w:gridCol w:w="1133"/>
        <w:gridCol w:w="109"/>
        <w:gridCol w:w="109"/>
        <w:gridCol w:w="109"/>
        <w:gridCol w:w="211"/>
        <w:gridCol w:w="721"/>
        <w:gridCol w:w="109"/>
        <w:gridCol w:w="109"/>
        <w:gridCol w:w="109"/>
        <w:gridCol w:w="109"/>
        <w:gridCol w:w="211"/>
        <w:gridCol w:w="721"/>
        <w:gridCol w:w="109"/>
        <w:gridCol w:w="109"/>
        <w:gridCol w:w="109"/>
        <w:gridCol w:w="109"/>
        <w:gridCol w:w="211"/>
        <w:gridCol w:w="691"/>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related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consultant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$2.1 million decrease in general and administrative expenses for the three months ended June 30, 2026 as compared to the three months ended June 30, 2025 was primarily driven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$1.5 million decrease in personnel expenses, driven primarily by fewer personnel-related costs resulting from the workforce reduction announced in May 2025 and a decrease in stock compensation expense of $0.8 million;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$1.5 million decrease in professional and consultant fees primarily related to lower corporate legal fees.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Income (Expense)</w:t>
      </w:r>
    </w:p>
    <w:tbl>
      <w:tblPr>
        <w:tblW w:w="8634" w:type="dxa"/>
        <w:jc w:val="left"/>
        <w:tblInd w:w="0" w:type="dxa"/>
        <w:tblLayout w:type="fixed"/>
        <w:tblCellMar>
          <w:top w:w="28" w:type="dxa"/>
          <w:left w:w="28" w:type="dxa"/>
          <w:bottom w:w="28" w:type="dxa"/>
          <w:right w:w="28" w:type="dxa"/>
        </w:tblCellMar>
      </w:tblPr>
      <w:tblGrid>
        <w:gridCol w:w="1847"/>
        <w:gridCol w:w="1623"/>
        <w:gridCol w:w="1630"/>
        <w:gridCol w:w="109"/>
        <w:gridCol w:w="109"/>
        <w:gridCol w:w="109"/>
        <w:gridCol w:w="211"/>
        <w:gridCol w:w="616"/>
        <w:gridCol w:w="109"/>
        <w:gridCol w:w="109"/>
        <w:gridCol w:w="109"/>
        <w:gridCol w:w="109"/>
        <w:gridCol w:w="211"/>
        <w:gridCol w:w="466"/>
        <w:gridCol w:w="109"/>
        <w:gridCol w:w="109"/>
        <w:gridCol w:w="109"/>
        <w:gridCol w:w="109"/>
        <w:gridCol w:w="211"/>
        <w:gridCol w:w="466"/>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(amortization)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short-term investment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Comparison of the Six Months Ended June 30, 2026 and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7943" w:type="dxa"/>
        <w:jc w:val="left"/>
        <w:tblInd w:w="0" w:type="dxa"/>
        <w:tblLayout w:type="fixed"/>
        <w:tblCellMar>
          <w:top w:w="28" w:type="dxa"/>
          <w:left w:w="28" w:type="dxa"/>
          <w:bottom w:w="28" w:type="dxa"/>
          <w:right w:w="28" w:type="dxa"/>
        </w:tblCellMar>
      </w:tblPr>
      <w:tblGrid>
        <w:gridCol w:w="1345"/>
        <w:gridCol w:w="1182"/>
        <w:gridCol w:w="1192"/>
        <w:gridCol w:w="109"/>
        <w:gridCol w:w="109"/>
        <w:gridCol w:w="109"/>
        <w:gridCol w:w="211"/>
        <w:gridCol w:w="721"/>
        <w:gridCol w:w="109"/>
        <w:gridCol w:w="109"/>
        <w:gridCol w:w="109"/>
        <w:gridCol w:w="109"/>
        <w:gridCol w:w="211"/>
        <w:gridCol w:w="721"/>
        <w:gridCol w:w="109"/>
        <w:gridCol w:w="109"/>
        <w:gridCol w:w="109"/>
        <w:gridCol w:w="109"/>
        <w:gridCol w:w="211"/>
        <w:gridCol w:w="796"/>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consultant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intellectual property fees,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$14.4 million decrease in research and development expenses for the six months ended June 30, 2026 as compared to the six months ended June 30, 2025 was primarily driven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$7.4 million decrease in personnel expenses, driven primarily by fewer personnel-related costs resulting from the workforce reduction announced in May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$5.7 million decrease in research costs as we advance our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liver franchise from research towards IND application submission and potential clinical trials;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$3.9 million decrease in facility costs primarily related to cost savings realized from bringing our vivarium in-house and due to moving expensed incurred in 2025;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$1.2 million decrease in license and IP costs primarily due to license fees recognized in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were offset by: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$2.7 million increase in clinical expenses as we advance our Wilson disease and AATD programs;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$1.1 million increase in professional and consultant fees related to our in-house vivarium.</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tbl>
      <w:tblPr>
        <w:tblW w:w="7584" w:type="dxa"/>
        <w:jc w:val="left"/>
        <w:tblInd w:w="0" w:type="dxa"/>
        <w:tblLayout w:type="fixed"/>
        <w:tblCellMar>
          <w:top w:w="28" w:type="dxa"/>
          <w:left w:w="28" w:type="dxa"/>
          <w:bottom w:w="28" w:type="dxa"/>
          <w:right w:w="28" w:type="dxa"/>
        </w:tblCellMar>
      </w:tblPr>
      <w:tblGrid>
        <w:gridCol w:w="1283"/>
        <w:gridCol w:w="1124"/>
        <w:gridCol w:w="1133"/>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consultant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related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$2.0 million increase in general and administrative expenses for the six months ended June 30, 2026 as compared to the six months ended June 30, 2025 was primarily driven by a $4.2 million increase in professional and consultant fees, a majority of which are arbitration-related legal expenses. This was offset by a $3.1 million decrease in personnel expenses driven primarily by fewer personnel-related costs resulting from the workforce reduction announced in May 2025 and a decrease in stock compensation expense of $1.4 million.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Income (Expense)</w:t>
      </w:r>
    </w:p>
    <w:tbl>
      <w:tblPr>
        <w:tblW w:w="8934" w:type="dxa"/>
        <w:jc w:val="left"/>
        <w:tblInd w:w="0" w:type="dxa"/>
        <w:tblLayout w:type="fixed"/>
        <w:tblCellMar>
          <w:top w:w="28" w:type="dxa"/>
          <w:left w:w="28" w:type="dxa"/>
          <w:bottom w:w="28" w:type="dxa"/>
          <w:right w:w="28" w:type="dxa"/>
        </w:tblCellMar>
      </w:tblPr>
      <w:tblGrid>
        <w:gridCol w:w="1847"/>
        <w:gridCol w:w="1623"/>
        <w:gridCol w:w="1630"/>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(amortization)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short-term investment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Change in Fair Value of Short-Term Investment — Related Party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related party short-term investment for the six months ended June 30, 2025 was the result of Beam’s stock price movement.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incurred significant operating losses. We expect to incur significant expenses and operating losses for the foreseeable future as we advance the preclinical development of our current research programs, commence the clinical development of any product candidates we may identify, and continue our platform development and early-stage research activities. We have not yet commercialized any products and we do not expect to generate revenue from sales of products for several years, if at all. To date, we have funded our operations primarily with proceeds from sales of preferred stock and from our public offerings and through payments from our collaboration partners. As of June 30, 2026, we had cash, cash equivalents, and investments of $95.1 million, excluding our restricted cash, or $108.8 million, including restricted cash.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we converted our automatic shelf registration statement on Form S-3ASR (File No. 333-291348), originally filed with the SEC on November 7, 2025, to a non-automatic shelf registration statement on Form S-3, or the Registration Statement, by post-effective amendments, for the issuance and sale of up to $500.0 million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common stock, preferred stock, debt securities, warrants and/or units or any combination thereof. The Registration Statement was declared effective by the SEC on March 4,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2023, we entered into the Sales Agreement with Jefferies under which we may, from time to time, issue and sell shares of our common stock having an aggregate sales proceeds of up to $300.0 million, in a series of one or more at-the-market equity offerings as part of our 2023 ATM Program. Any shares will be sold pursuant to the Registration Statement and the sales agreement prospectus filed therewith, which covers the offer and sale of shares of our common stock under the 2023 ATM Program having an aggregate offering price of up to $200.0 million of the $300.0 million authorized under the Sales Agreement. If we wish to offer and sell additional shares of our common stock under the Sales Agreement in excess of the $200.0 million registered under the Registration Statement, for up to an additional $100.0 million, we must file with the SEC one or more additional prospectus supplements to register under the Securities Act, the offer and sale of any such additional shares of our common stock we wish to offer and sell from time to time under the Sales Agreement. Jefferies is not required to sell any specific share amounts but acts as our sales agent, using commercially reasonable efforts consistent with its normal trading and sales practices. We will pay Jefferies a commission equal to 3.0% of the aggregate gross proceeds we receive from each sale of our shares of common stock. Our common stock will be sold at prevailing market prices at the time of the sale, and as a result, prices may vary.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incurred substantial losses. As of June 30, 2026, we had an accumulated deficit of $979.6 million and we expect to generate operating losses and negative operating cash flows for the foreseeable future. As stated above, as of June 30, 2026, we maintained cash, cash equivalents, and short-term investments of $95.1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accordance with ASC 205-40, we evaluated whether there are conditions and events, considered in the aggregate, that raise substantial doubt about our ability to continue as a going concern within one year after the date on which this Quarterly Report on Form 10-Q is filed. Based on our cash, cash equivalents, and short-term investments as of June 30, 2026, our current and forecasted level of operations and forecasted cash flows, our ability to continue as a going concern is dependent upon our ability to obtain the necessary financing to meet our obligations and repay our liabilities arising from normal business operations when they come due. Management plans to provide for capital requirements through financing or other transactions, and selling shares under our “at the market offering” program. There can be no assurance that we will be able to raise additional capital to fund operations with terms acceptable to us, or at all. Because certain elements of our plans to mitigate the conditions that raised substantial doubt about our ability to continue as a going concern are outside of our control, including the ability to raise capital through an equity or other financing, those elements cannot be considered probable according to ASC 205-40, and therefore cannot be considered in the evaluation of mitigating factors. As a result, we concluded that substantial doubt exists about our ability to continue as a going concern for 12 months from the date these condensed consolidated financial statements are issued.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as of June 30, 2026 have been prepared under the assumption that we will continue as a going concern for the next 12 months and that contemplates the realization of assets and satisfaction of liabilities and commitments in the normal course of business. Our ability to continue as a going concern is dependent upon our uncertain ability to obtain additional capital, reduce expenditures and/or execute on our business plan. These condensed consolidated financial statements do not include any adjustments that might result from the outcome of this uncertainty.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sources and uses of cash for each of the periods presented: </w:t>
      </w:r>
    </w:p>
    <w:tbl>
      <w:tblPr>
        <w:tblW w:w="7731" w:type="dxa"/>
        <w:jc w:val="left"/>
        <w:tblInd w:w="0" w:type="dxa"/>
        <w:tblLayout w:type="fixed"/>
        <w:tblCellMar>
          <w:top w:w="28" w:type="dxa"/>
          <w:left w:w="28" w:type="dxa"/>
          <w:bottom w:w="28" w:type="dxa"/>
          <w:right w:w="28" w:type="dxa"/>
        </w:tblCellMar>
      </w:tblPr>
      <w:tblGrid>
        <w:gridCol w:w="1698"/>
        <w:gridCol w:w="1494"/>
        <w:gridCol w:w="1503"/>
        <w:gridCol w:w="109"/>
        <w:gridCol w:w="109"/>
        <w:gridCol w:w="109"/>
        <w:gridCol w:w="211"/>
        <w:gridCol w:w="796"/>
        <w:gridCol w:w="109"/>
        <w:gridCol w:w="109"/>
        <w:gridCol w:w="109"/>
        <w:gridCol w:w="109"/>
        <w:gridCol w:w="211"/>
        <w:gridCol w:w="901"/>
        <w:gridCol w:w="154"/>
      </w:tblGrid>
      <w:tr>
        <w:trPr/>
        <w:tc>
          <w:tcPr>
            <w:tcW w:w="169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95"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(44,971)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was driven primarily by the following uses of cash: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$91.2 million net loss;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$3.9 million change in lease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$3.6 million change in accrued expenses and other current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$3.0 million change in accounts payable;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$2.0 million change in deferred revenue — related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were offset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$18.1 million of non-cash amounts included in net loss, which primarily consisted of stock-based compensation expense, non-cash lease expense, and depreciation expense;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$1.9 million change in prepaid expenses and other current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2025 was driven primarily by the following uses of cash: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$104.5 million net loss;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$2.4 million change in deferred revenue — related party;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$2.1 million change in lease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$1.7 million change in accrued expenses and other current liabilities;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$1.5 million change in accounts payable.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were offset by $21.3 million of non-cash amounts included in net loss, which primarily consisted of stock-based compensation expense, non-cash lease expense, depreciation expense, and change in fair value of short-term investment — related party.</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six months ended June 30, 2026 was driven primarily by $67.7 million of maturities of investments, net of 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2025 was driven primarily by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$41.0 million of purchases of investments, net of maturities;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$4.0 million of purchases of property and equipment.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2025 was driven by $6.0 million of proceeds received under our agreement with Cystic Fibrosis Foundation.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Funding Requirements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product sales. We do not expect to generate revenue from product sales unless and until we successfully complete preclinical and clinical development of, receive regulatory approval for, and commercialize a product candidate and we do not know when, or if at all, that will occur. We expect our expenses to increase substantially in connection with our ongoing activities, particularly as we advance the preclinical activities and studies and initiate clinical trials. In addition, if we obtain regulatory approval for any product candidates, we expect to incur significant expenses related to product sales, marketing, and distribution to the extent that such sales, marketing and distribution are not the responsibility of potential collaborators. Further, we have incurred, and expect to continue to incur, costs associated with operating as a public company. The timing and amount of our operating expenditures will depend largely on the factors set out above. For more information, refer to the section titled “Risk Factors” in our Annual Report on Form 10-K for the year ended December 31, 2025, and the “Risk Factors” section of subsequent Quarterly Reports on Form 10-Q.</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our existing cash, cash equivalents, and investments will be sufficient to fund our operating expenses and capital expenditure requirements into 2027. We have based this estimate on assumptions that may prove to be wrong, and we could exhaust our available capital resources sooner than we expect. We expect that we will require additional funding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continue our current research development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identify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 maintain, expand and protect our intellectual property portfolio and defend intellectual property-related claims;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maintain existing collaborations or strategic relationships and identify and enter into future license agreements and collaborations with third parties;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initiate preclinical testing and clinical trials for our future product candidates we identify;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further develop our Prime Editing platform;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hire additional personnel to support our strategic priorities.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we receive regulatory approval for any of our product candidates, we expect to incur significant commercialization expenses related to product manufacturing, sales, marketing and distribution, depending on where we choose to commercialize ourselves.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product revenue, we expect to finance our cash needs through a combination of private and public equity offerings, debt financings, additional collaborations, strategic alliances, and marketing, distribution or licensing arrangements with third parties. To the extent that we raise additional capital through the sale of equity or convertible debt securities, ownership interest may be materially diluted, and the terms of such securities could include liquidation or other preferences that adversely affect your rights as a common stockholder. Debt and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or distribution or licensing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arrangements with third parties, we may have to relinquish valuable rights to our technologies, any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Contractual Obligations and Other Commitments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enter into contracts in the normal course of business with contract organizations and other vendors to assist in the performance of our research and development activities, and other services and products for operating purposes. These contracts generally provide for termination on notice, and therefore are cancellable contracts and not included in the table of contractual obligations and commitments.</w:t>
      </w:r>
    </w:p>
    <w:p>
      <w:pPr>
        <w:pStyle w:val="TextBody"/>
        <w:bidi w:val="0"/>
        <w:spacing w:lineRule="auto" w:line="288" w:before="0" w:after="180"/>
        <w:jc w:val="both"/>
        <w:rPr/>
      </w:pPr>
      <w:r>
        <w:rPr>
          <w:rFonts w:ascii="Times New Roman;serif" w:hAnsi="Times New Roman;serif"/>
          <w:b w:val="false"/>
          <w:color w:val="000000"/>
          <w:sz w:val="20"/>
        </w:rPr>
        <w:t xml:space="preserve">During the six months ended June 30, 2026, except for the minimum lease commitments disclosed in Note 6, </w:t>
      </w:r>
      <w:r>
        <w:rPr>
          <w:rFonts w:ascii="Times New Roman;serif" w:hAnsi="Times New Roman;serif"/>
          <w:b w:val="false"/>
          <w:i/>
          <w:color w:val="000000"/>
          <w:sz w:val="20"/>
        </w:rPr>
        <w:t>Leases</w:t>
      </w:r>
      <w:r>
        <w:rPr>
          <w:rFonts w:ascii="Times New Roman;serif" w:hAnsi="Times New Roman;serif"/>
          <w:b w:val="false"/>
          <w:color w:val="000000"/>
          <w:sz w:val="20"/>
        </w:rPr>
        <w:t>, to the unaudited condensed consolidated financial statements in this Quarterly Report on Form 10-Q, there were no significant changes to our contractual obligations and commitments described under Management’s Discussion and Analysis of Financial Condition and Results of Operations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the disclosures of contingent assets and liabilities at the date of the condensed consolidated financial statements and the reported amounts of revenues and expenses incurred during the reporting periods. We base our estimates on historical experience, known trends and events, and various other factors that we believe are reasonable under the circumstances, the results of which form the basis for making judgments about the carrying values of assets and liabilities recorded revenues and expenses that are not readily apparent from other sources. We evaluate our estimates and assumptions on an ongoing basis. Actual results may differ from these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no material changes to our critical accounting policies and significant judgments described under Management’s Discussion and Analysis of Critical Accounting Policies and Significant Judgments and Estimates which are included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Recently Issued and Adopted Accounting Pronouncements</w:t>
      </w:r>
    </w:p>
    <w:p>
      <w:pPr>
        <w:pStyle w:val="TextBody"/>
        <w:bidi w:val="0"/>
        <w:spacing w:lineRule="auto" w:line="288" w:before="0" w:after="180"/>
        <w:jc w:val="both"/>
        <w:rPr/>
      </w:pPr>
      <w:r>
        <w:rPr>
          <w:rFonts w:ascii="Times New Roman;serif" w:hAnsi="Times New Roman;serif"/>
          <w:b w:val="false"/>
          <w:color w:val="000000"/>
          <w:sz w:val="20"/>
        </w:rPr>
        <w:t>A description of recently issued accounting pronouncements that may potentially impact our financial position and results of operations is disclosed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to our audited financial statements for the year ended December 31, 2025, and notes thereto, included in our Annual Report on Form 10-K and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As a result of this election, our condensed consolidated financial statements may not be comparable to other public companies that comply with new or revised accounting pronouncements as of public company effective dates. We may choose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early adopt any new or revised accounting standards whenever such early adoption is permitted for private companies.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of our investment portfolio of cash equivalents and investments. As of June 30, 2026, we held cash, cash equivalents, investments, and restricted cash of $108.8 million, which consisted of cash, money market funds, equity securities, and debt securities. Our primary exposure to market risk is interest income sensitivity, which is affected by changes in the general level of U.S. interest rates. The fair value of our cash equivalents, consisted of our money market funds, and investments are subject to change as a result of potential changes in market interest rates. Due to the short-term maturities of our cash equivalents and investments and the low risk profile of our investments, an immediate 10 percent change in interest rates would not have a material effect on the fair market value of our cash equivalents or investments.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Effects of Inflation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Inflation generally affects us by increasing our cost of labor and research and development costs. Although we do not believe that inflation has had a material impact on our financial position or results of operations to date, we may experience some effect in the future due to an impact on the costs to conduct research and development, labor costs we incur to attract and retain qualified personnel, and other operational costs. Inflationary costs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established disclosure controls and procedures (as defined in Rules 13a-15(e) and 15d-15(e) under the Exchange Act, designed to ensure that information required to be disclosed in the reports that we file or submit under the Exchange Act is recorded, processed, summarized and reported within the time periods specified in the SEC’s rules and forms and is accumulated and communicated to management, including our principal executive officer and principal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Internal Control over Financial Reporting</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management concluded that our disclosure controls and procedures were effective as of June 30, 2026. Management recognizes that any controls and procedures, no matter how well designed and operated, can provide only reasonable assurance of achieving the desired control objectives and management necessarily applies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its judgment in evaluating the cost-benefit relationship of possible controls and procedures. Our disclosure controls and procedures have been designed to provide reasonable assurance of achieving their objectives.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were engaged in binding arbitration proceedings with Beam regarding the Beam Collaboration Agreement. A dispute arose between the parties following our March 18, 2025 announcement that we are developing a Prime Editing-based treatment for AATD. On April 16, 2025, Beam filed an arbitration demand with the AAA, alleging that we breached the Beam Collaboration Agreement by developing a product for the treatment of AATD and by allegedly not complying with certain obligations to transfer technical information to Beam pursuant to the Beam Collaboration Agreement. Beam also made related claims for trade secret misappropriation and various business torts based on similar allegations. Beam sought both declaratory, injunctive, and monetary relief. On April 18, 2025, we filed an arbitration demand with the AAA seeking a declaration that our AATD program is within our “Field” as defined by the Beam Collaboration Agreement. The arbitrations were consolidated and a hearing was conducted earlier this year.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6, 2026, we received a final award, or the Final Award, from the arbitration tribunal, or the Tribunal. In the Final Award, the Tribunal declared that PM647, our development candidate for the treatment of AATD, is within our "Field," and that we therefore did not breach the Beam Collaboration Agreement. Consequently, the Tribunal denied Beam's requests for damages and injunctive relief based on Beam's assertion that we breached the Beam Collaboration Agreement. The Tribunal denied the remaining claims brought by Beam and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80"/>
        <w:jc w:val="both"/>
        <w:rPr/>
      </w:pPr>
      <w:r>
        <w:rPr>
          <w:rFonts w:ascii="Times New Roman;serif" w:hAnsi="Times New Roman;serif"/>
          <w:b w:val="false"/>
          <w:i/>
          <w:color w:val="000000"/>
          <w:sz w:val="20"/>
          <w:shd w:fill="FFFFFF" w:val="clear"/>
        </w:rPr>
        <w:t xml:space="preserve">Investing in our common stock involves a high degree of risk. For a detailed discussion of the risks and uncertainties related to our business, please refer to the section titled “Risk Factors” in our Annual Report on Form 10-K for the year ended </w:t>
      </w:r>
      <w:r>
        <w:rPr>
          <w:rFonts w:ascii="Times New Roman;serif" w:hAnsi="Times New Roman;serif"/>
          <w:b w:val="false"/>
          <w:i/>
          <w:color w:val="000000"/>
          <w:sz w:val="20"/>
        </w:rPr>
        <w:t>December 31, 2025</w:t>
      </w:r>
      <w:r>
        <w:rPr>
          <w:rFonts w:ascii="Times New Roman;serif" w:hAnsi="Times New Roman;serif"/>
          <w:b w:val="false"/>
          <w:i/>
          <w:color w:val="000000"/>
          <w:sz w:val="20"/>
          <w:shd w:fill="FFFFFF" w:val="clear"/>
        </w:rPr>
        <w:t xml:space="preserve">. There have been no material changes from the risk factors set forth in our Annual Report on Form 10-K for the year ended </w:t>
      </w:r>
      <w:r>
        <w:rPr>
          <w:rFonts w:ascii="Times New Roman;serif" w:hAnsi="Times New Roman;serif"/>
          <w:b w:val="false"/>
          <w:i/>
          <w:color w:val="000000"/>
          <w:sz w:val="20"/>
        </w:rPr>
        <w:t>December 31, 2025, except as set forth below.</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conflicts arise between us and our collaborators or strategic partners, these parties may act in a manner adverse to us and could limit our ability to implement our strategies or we could lose license rights that are important to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and expect to continue to be, reliant upon certain patent rights and proprietary technology we have licensed from third parties that may be important or necessary to the development of our Prime Editing technology and product candidates. If conflicts arise between our corporate or academic collaborators or strategic partners and us, the other party may act in a manner adverse to us and could limit our ability to implement our strategies or we could lose license rights that are important to our business. For instance, we have entered into license and collaboration agreements with Beam and Broad Institute related to the research, development, delivery, manufacturing, and commercialization of Prime Editing technology and certain product candidates we may develop.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Moreover, disputes over intellectual property that we have licensed could prevent or impair our ability to maintain our current licensing arrangements on commercially acceptable terms. If we are unable to maintain such arrangements, we may be unable to successfully develop or commercialize the affected product candidates. Any termination of, or dispute relating to, our intellectual property licenses could result in the loss of our ability to develop and commercialize product candidates or the loss of other significant rights, any of which could have a material adverse effect on our business, financial condition, results of operations and prospects. For example, we were engaged in arbitration proceedings with Beam regarding the Beam Collaboration Agreement. A dispute arose between us and Beam following our March 18, 2025 announcement that we were developing a Prime Editing-based treatment for AATD. On April 16, 2025, Beam filed an arbitration demand with the AAA, alleging that we had breached the Beam Collaboration Agreement by developing a product for the treatment of AATD and by allegedly not complying with certain obligations to transfer technical information to Beam pursuant to the Beam Collaboration Agreement. On April 18, 2025, we filed an arbitration demand with the AAA seeking a declaration that our AATD program was within our “Field” as defined by the Beam Collaboration Agreement. On July 6, 2026, we received the Final Award from the Tribunal, which declared that PM647, our development candidate for the treatment of AATD, is within our "Field" under the Beam Collaboration Agreement and that we therefore did not breach the agreement. Consequently, the Tribunal denied Beam's requests for damages and injunctive relief based on Beam's assertion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val="false"/>
          <w:color w:val="000000"/>
          <w:sz w:val="20"/>
        </w:rPr>
        <w:t>we breached the Beam Collaboration Agreement. The Tribunal denied the remaining claims brought by Beam and us. Although the arbitration was resolved in our favor, disputes with collaborators, licensors or strategic partners may arise in the future regarding the scope of our rights or obligations under our agreements, and any such disputes could have a material adverse effect on our business, financial condition, results of operations and prospects. For more information regarding our agreement with Beam, see the risk factor entitled “</w:t>
      </w:r>
      <w:r>
        <w:rPr>
          <w:rFonts w:ascii="Times New Roman;serif" w:hAnsi="Times New Roman;serif"/>
          <w:b w:val="false"/>
          <w:i/>
          <w:color w:val="000000"/>
          <w:sz w:val="20"/>
        </w:rPr>
        <w:t>Our rights to develop and commercialize our Prime Editing platform technology and product candidates are subject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collaborators or strategic partners could also develop competing products, preclude us from entering into collaborations with their competitors, fail to obtain timely regulatory approvals, prevent us from obtaining timely regulatory approvals, terminate their agreements with us prematurely or fail to devote sufficient resources to the collaboration efforts, including development, delivery, manufacturing and commercialization of products. Any of these developments could harm our company and product development efforts.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rights to develop and commercialize our Prime Editing platform technology and product candidates are subject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do not currently own any issued patents and are heavily reliant upon certain patent rights and proprietary technology we have licensed from third parties that are important or necessary to the development of our Prime Editing technology and product candidates. For example, we are a party to two license agreements with Broad Institute. In September 2019, we entered into a license agreement with Broad Institute, or the Broad License Agreement, and in May 2020, February 2021, December 2022, September 2024, and September 2025, we entered into amendments to such license agreement. In December 2022, we entered into a new license agreement with Broad Institute, or the 2022 Broad License Agreement. Under the amended Broad License Agreement and the 2022 Broad License Agreement, Broad Institute grants us certain rights and licenses under certain patent rights it owns or controls relating to our Prime Editing technology and product candidates. Each license agreement imposes various diligence, milestone payment, royalty, insurance and other obligations on us. Our licenses are subject to Broad Institute’s inclusive innovation model, pursuant to which Broad Institute retains the right, in certain circumstances, to grant to third parties (other than specified competitors of ours) licenses under the licensed patent rights that would otherwise fall within the scope of the exclusive license granted to us. All gene targets, which are any human genes to which a program is directed, are subject to Broad Institute’s march-in license, which means Broad Institute has the right to terminate our license to gene targets under certain conditions and could make one or more gene targets unavailable to us. However, if we initiate a program for a gene target, in accordance with the terms of each license agreement, we may block a march-in request by making certain showing and by continuing to use commercially reasonable efforts to continue to progress such development. Internally, we determine when a program for a gene target has been initiated by considering factors such as whether a gene target has been identified as the subject of a program, how much time or resources have been dedicated to researching, developing, and/or designing and using reagents for a program, and the amount of preclinical testing in process for such program. If we fail to comply with these or other obligations in our current or future license agreements, our licensors may have the right to terminate our license, in which event we would not be able to develop or market our Prime Editing technology or any other technology or product candidates covered by the intellectual property licensed under this agreement. Our business would be seriously harmed if any current or future licenses terminate, if our licensors fail to abide by the terms of the license, if our licensors fail to enforce licensed patents against infringing third parties, if the licensed patents or other rights are found to be invalid or unenforceable, or if we are unable to enter into necessary licenses on acceptable terms.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Moreover, if certain of our license agreements terminate, we may be required to continue to license or assign certain of our intellectual property to the applicable counterparty.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patent rights that we license from Broad Institute under the Broad License Agreement are co-owned by Broad Institute with Harvard and certain of the licensed patent rights under the Broad License Agreement are co-owned by Broad Institute, Harvard, and MIT. The patent rights that we license from Broad Institute under the 2022 Broad License Agreement are co-owned by Broad Institute with Harvard, Princeton, and the University of California. In addition, some of the inventors of the licensed patent and patent applications are or were employees of HHMI, which retains certain rights to patents and patent applications invented by their employees. Our rights to our in-licensed patents and patent applications from Broad Institute are dependent, in part, on inter-institutional or other operating agreements between Broad Institute, Harvard, MIT, University of California, Princeton and HHMI. If Broad Institute, Harvard, MIT, University of California, Princeton or HHMI breaches or terminates such inter-institutional or operating agreements, our rights to such in-licensed patents and patent applications may be adversely affected. We have also licensed certain improvements to Prime Editing from Dr. Liu’s laboratory at Broad Institute. For example, Dr. Liu’s laboratory at Broad Institute developed engineered pegRNAs, or epegRNAs, which we have exclusively in-licensed.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in September 2019, we established a strategic relationship with Beam, a biotechnology company developing gene editing products using its proprietary base editing technology. Under the Beam Collaboration Agreement, each party grants to the other certain exclusive and non-exclusive licenses and rights to certain Prime Editing, CRISPR and delivery technologies for use in certain specified fields. Activities performed by Prime and Beam under the Beam Collaboration Agreement may lead to co-owned patents and patent applications.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and other licenses may not provide exclusive rights to use such intellectual property and technology in all relevant fields of use and in all territories in which we may wish to develop or commercialize our Prime Editing technology and product candidates in the future. Some licenses granted to us are expressly subject to certain preexisting rights held by the licensors or certain third parties. As a result, we may not be able to prevent third parties from developing and commercializing competitive products in certain territories or fields. For example, the rights granted to us under each license agreement are subject to certain retained rights of, among others, Broad Institute, MIT, Harvard, Princeton, University of California, HHMI and the U.S. federal government, and the rights granted to us under the Beam Collaboration Agreement are subject to certain third party agreements and certain rights retained by third parties. Additionally, each license agreement with Broad Institute provides that our field of use is limited to the field of prevention or treatment of human disease, and most licenses granted to us under each license agreement with Broad Institute are further limited to the prevention or treatment of human disease by editing (including modifying or converting) or targeting DNA ex vivo, in vivo, or through xeno-transplantation methods and includes other specified exclusions. If we determine that rights to additional fields, including the specifically excluded fields, are necessary to commercialize our product candidates or maintain our competitive advantage, we may need to obtain a license from Broad Institute and/or other third parties in order to continue developing, manufacturing or marketing our product candidates. We may not be able to obtain such a license on an exclusive basis, on commercially reasonable terms, or at all, which could prevent us from commercializing our product candidates or allow our competitors or other third parties the chance to access technology that is important to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do not control the preparation, filing, prosecution and maintenance of the patents and patent applications covering the technology that we license from Broad Institute or Beam. For example, pursuant to our licenses with Broad Institute and Beam, our licensors retain control of preparation, filing, prosecution and maintenance of their wholly-owned patents and patent applications. We rely on such licensors to determine inventorship and perfect priority of their patent applications. We cannot be certain that these patents and patent applications will be prepared, filed, prosecuted, maintained and defended in a manner consistent with the best interests of our business. If Broad Institute or Beam fails to prosecute or maintain such patents and patent applications or loses rights to such patents and patent applications, the rights we have licensed may be reduced or eliminated, our right to develop and commercialize any of our product candidates we may develop that are the subject of such licensed rights could be adversely affected and we may not be able to prevent third parties from making, using and selling competing products. In addition, we do not control all enforcement of the patents and patent applications we license from Broad Institute.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licensors may have relied on third-party consultants or collaborators or on funds from third parties such that our licensors are not the sole and exclusive owners of the patent rights we have in-licensed. If other third parties have ownership rights to our in-licensed issued patents and patent applications, the license granted to us in jurisdictions where the consent of a co-owner is necessary to grant such a license may not be valid, and such co-owners for which we do not secure exclusive licenses may be able to license such patent rights to third parties, including our competitors, and such third parties may be able to market competing products and technology.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inventions contained within some of our in-licensed issued patents and patent applications were made using U.S. government funding. We rely on our licensors to ensure compliance with applicable obligations arising from such funding, such as timely reporting, an obligation associated with our in-licensed patents and patent applications. The failure of our licensors to meet their obligations may lead to a loss of rights or the unenforceability of relevant patents that may issue from such applications. For example, the U.S. government could have certain rights in such in-licensed issued patent and patent applications, including a non-exclusive license authorizing the U.S. government to use the invention or to have others use the invention on its behalf. If the U.S. government decides to exercise these rights, it is not required to engage us as its contractor in connection with doing so.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also exercise its march-in rights if it determines that action is necessary because we or our licensors failed to achieve practical application of the U.S. government-funded technology, because action is necessary to alleviate health or safety needs, to meet requirements of federal regulations, or to give preference to U.S. industry. For example, if the U.S. government determines it is necessary, the U.S. government may exercise its march-in rights and license to third-party manufacturers any or all of our future products or current or future product candidates covered by in-licensed patents and patent applications made using U.S. government funding. In addition, our rights in such in-licensed U.S. government-funded inventions may be subject to certain requirements to manufacture product candidates embodying such inventions in the United States. Any of the foregoing could harm our business, financial condition, results of operations, and prospects significantly.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event that any of our third-party licensors determines that, in spite of our efforts, we have materially breached a license agreement or have failed to meet certain obligations thereunder, it may elect to terminate the license agreement or, in some cases, one or more license(s) under the applicable license agreement and such termination would result in us no longer having the ability to develop and commercialize product candidates and technology covered by that license agreement or license. In the event of such termination of a third-party in-license, or if the underlying patent rights under a third-party in-license fail to provide the intended exclusivity, third parties may be able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Any of these events could have a material adverse effect on our competitive position, business, financial conditions,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license agreements with Beam and Broad Institute, we are generally responsible for bringing any actions against any third party for infringing on certain of the patent rights we have licensed from such counterparty, subject to certain conditions. Certain provisions of each license agreement with Broad Institute also require us to meet development thresholds within specified timeframes to maintain the license, including establishing a set timeline for developing and commercializing products, while some provisions of the Beam Collaboration Agreement require us to use commercially reasonable efforts to conduct development activities for collaboration products. In spite of our efforts, Broad Institute, Beam, or any future licensor from whom we may seek to license intellectual property rights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licenses agreements are terminated, or if the underlying patent rights fail to provide the intended exclusivity, competitors or other third parties may be able to seek regulatory approval of, and to market, products identical to ours and we may be required to cease our development and commercialization of our Prime Editing technology or product candidates. Any of the foregoing could have a material adverse effect on our competitive position, business, financial condition,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operations and growth prospects. Disputes may arise regarding intellectual property subject to a licensing agreement,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extent to which our technology and processes infringe on intellectual property of the licensor that is not subject to the licensing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sublicensing of patent rights to third parties under our collaborative development relationships;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diligence obligations under the license agreement with respect to the use of the licensed technology in relation to our development and commercialization of our product candidates and what activities satisfy those diligence obligations;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inventorship and ownership of inventions and know-how resulting from the joint creation or use of intellectual property by our licensor and us and our partners;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priority of invention of patented technology.</w:t>
      </w:r>
    </w:p>
    <w:p>
      <w:pPr>
        <w:pStyle w:val="TextBody"/>
        <w:bidi w:val="0"/>
        <w:spacing w:lineRule="auto" w:line="288" w:before="0" w:after="180"/>
        <w:jc w:val="both"/>
        <w:rPr/>
      </w:pPr>
      <w:r>
        <w:rPr>
          <w:rFonts w:ascii="Times New Roman;serif" w:hAnsi="Times New Roman;serif"/>
          <w:b w:val="false"/>
          <w:color w:val="000000"/>
          <w:sz w:val="20"/>
        </w:rPr>
        <w:t>In addition, the agreements under which we currently license intellectual property rights from Beam and Broad Institute are complex, and certain provisions in such agreements may be susceptible to multiple interpretations. The resolution of any contract interpretation disagreement that may arise under our existing license agreements or future license agreements into which we may enter could narrow what we believe to be the scope of our rights to the relevant intellectual property or technology or broaden what we believe to be the scope of the licensor’s rights to our intellectual property and technology, or increase what we believe to be our financial or other obligations under the relevant agreement, any of which could have a material adverse effect on our business, financial condition, results of operations and prospects. For example, we have exclusively licensed and sublicensed certain of our owned and licensed intellectual property rights to Beam pursuant to the Beam Collaboration Agreement in certain fields. In July 2026, we received the Final Award from the Tribunal, which declared that PM647 is within our "Field" under the Beam Collaboration Agreement and that we therefore did not breach the agreement. Consequently, the Tribunal denied Beam's requests for damages and injunctive relief based on Beam's assertion that we breached the Beam Collaboration Agreement. The Tribunal denied the remaining claims brought by Beam and us. Although the arbitration was resolved in our favor, future disputes regarding the interpretation of our license agreements or the scope of rights granted thereunder could arise and could adversely affect our business, financial condition, results of operations and prospects. For more information, see the risk factor entitled “</w:t>
      </w:r>
      <w:r>
        <w:rPr>
          <w:rFonts w:ascii="Times New Roman;serif" w:hAnsi="Times New Roman;serif"/>
          <w:b w:val="false"/>
          <w:i/>
          <w:color w:val="000000"/>
          <w:sz w:val="20"/>
        </w:rPr>
        <w:t>If conflicts arise between us and our collaborators or strategic partners, these parties may act in a manner adverse to us and could limit our ability to implement our strategies or we could lose license rights that are important to our business</w:t>
      </w:r>
      <w:r>
        <w:rPr>
          <w:rFonts w:ascii="Times New Roman;serif" w:hAnsi="Times New Roman;serif"/>
          <w:b w:val="false"/>
          <w:color w:val="000000"/>
          <w:sz w:val="20"/>
        </w:rPr>
        <w:t>.” Moreover, if disputes over intellectual property that we have licensed prevent or impair our ability to maintain our current licensing arrangements on commercially acceptable terms, we may be unable to successfully develop and commercialize the affected product candidates. As a result, any termination of or disputes over our intellectual property licenses could result in the loss of our ability to develop and commercialize our Prime Editing technology or other product candidates or we could lose other significant rights, any of which could have a material adverse effect on our business, financial conditions, results of operations and prospects. It is also possible that a third party could be granted limited licenses to some of the same technology, in certain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Set forth below is information regarding shares of equity securities sold, and options granted, by us during the three months ended June 30, 2026 that were not registered under the Securities Act.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 Sales of Unregistered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our officers (as defined in Rule 16a–1(f)) and directors may enter into Rule 10b5-1 or non-Rule 10b5-1 trading arrangements (as each such term is defined in Item 408 of Regulation S-K). During the three months ended June 30, 2026, none of the our directors or officers adopted, modified or terminated a plan or other arrangement intended to satisfy the affirmative defense conditions of Rule 10b5-1(c) or any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(a)Exhibits.</w:t>
      </w:r>
    </w:p>
    <w:tbl>
      <w:tblPr>
        <w:tblW w:w="10205" w:type="dxa"/>
        <w:jc w:val="left"/>
        <w:tblInd w:w="0" w:type="dxa"/>
        <w:tblLayout w:type="fixed"/>
        <w:tblCellMar>
          <w:top w:w="28" w:type="dxa"/>
          <w:left w:w="28" w:type="dxa"/>
          <w:bottom w:w="28" w:type="dxa"/>
          <w:right w:w="28" w:type="dxa"/>
        </w:tblCellMar>
      </w:tblPr>
      <w:tblGrid>
        <w:gridCol w:w="249"/>
        <w:gridCol w:w="218"/>
        <w:gridCol w:w="220"/>
        <w:gridCol w:w="109"/>
        <w:gridCol w:w="109"/>
        <w:gridCol w:w="109"/>
        <w:gridCol w:w="1632"/>
        <w:gridCol w:w="1317"/>
        <w:gridCol w:w="1297"/>
        <w:gridCol w:w="109"/>
        <w:gridCol w:w="109"/>
        <w:gridCol w:w="109"/>
        <w:gridCol w:w="170"/>
        <w:gridCol w:w="170"/>
        <w:gridCol w:w="171"/>
        <w:gridCol w:w="109"/>
        <w:gridCol w:w="109"/>
        <w:gridCol w:w="109"/>
        <w:gridCol w:w="249"/>
        <w:gridCol w:w="249"/>
        <w:gridCol w:w="250"/>
        <w:gridCol w:w="109"/>
        <w:gridCol w:w="109"/>
        <w:gridCol w:w="109"/>
        <w:gridCol w:w="195"/>
        <w:gridCol w:w="195"/>
        <w:gridCol w:w="197"/>
        <w:gridCol w:w="109"/>
        <w:gridCol w:w="109"/>
        <w:gridCol w:w="109"/>
        <w:gridCol w:w="210"/>
        <w:gridCol w:w="210"/>
        <w:gridCol w:w="211"/>
        <w:gridCol w:w="109"/>
        <w:gridCol w:w="109"/>
        <w:gridCol w:w="109"/>
        <w:gridCol w:w="242"/>
        <w:gridCol w:w="242"/>
        <w:gridCol w:w="349"/>
      </w:tblGrid>
      <w:tr>
        <w:trPr/>
        <w:tc>
          <w:tcPr>
            <w:tcW w:w="2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 xml:space="preserve">Third Amended and Restated Certificate of Incorporation of Prime Medicine, Inc.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001-41536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Certificate of Amendment to Third Amended and Restated Certificate of Incorporation of Prime Medicine,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001-41536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06/12/24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Second Amended and Restated Bylaws of Prime Medicine,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001-41536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05/21/24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q2202610-q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q2202610-q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q2202610-q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q2202610-q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     Indicates a management contract or any compensatory plan, contract or arrangement.</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    The certification furnished in Exhibit 32.1 and Exhibit 32.2 hereto are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(b)Financial Statement Schedules.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30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96"/>
        <w:gridCol w:w="296"/>
        <w:gridCol w:w="296"/>
        <w:gridCol w:w="723"/>
        <w:gridCol w:w="723"/>
        <w:gridCol w:w="10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Prime Medicine,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Allan Reine</w:t>
            </w:r>
          </w:p>
        </w:tc>
      </w:tr>
      <w:tr>
        <w:trPr/>
        <w:tc>
          <w:tcPr>
            <w:tcW w:w="2958"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Allan Reine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Svetlana Ni Makhni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Svetlana Ni Makhni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RULES 13a-14(a) AND 15d-14(a) UNDER THE SECURITIES EXCHANGE ACT OF 1934,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THE SARBANES-OXLEY ACT OF 2002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 Allan Reine, certify that: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Prime Medicine, Inc.;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  </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3668"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09"/>
        <w:gridCol w:w="109"/>
        <w:gridCol w:w="109"/>
        <w:gridCol w:w="756"/>
        <w:gridCol w:w="756"/>
        <w:gridCol w:w="1082"/>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Allan Reine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Allan Reine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RULES 13a-14(a) AND 15d-14(a) UNDER THE SECURITIES EXCHANGE ACT OF 1934,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THE SARBANES-OXLEY ACT OF 2002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 Svetlana Ni Makhni, certify that: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Prime Medicine, Inc.;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  </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3639"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09"/>
        <w:gridCol w:w="109"/>
        <w:gridCol w:w="109"/>
        <w:gridCol w:w="751"/>
        <w:gridCol w:w="751"/>
        <w:gridCol w:w="106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Svetlana Ni Makhni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Svetlana Ni Makhni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0" w:after="180"/>
        <w:ind w:left="0" w:right="0" w:firstLine="55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Quarterly Report of Prime Medicine, Inc. (the “Company”) on Form 10-Q for the period ended June 30, 2026 as filed with the Securities and Exchange Commission on the date hereof (the “Report”), I certify, pursuant to 18 U.S.C. § 1350, as adopted pursuant to § 906 of the Sarbanes-Oxley Act of 2002, that: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40" w:before="0" w:after="0"/>
        <w:jc w:val="left"/>
        <w:rPr>
          <w:color w:val="000000"/>
        </w:rPr>
      </w:pPr>
      <w:r>
        <w:rPr>
          <w:color w:val="000000"/>
        </w:rPr>
        <w:t> </w:t>
      </w:r>
    </w:p>
    <w:tbl>
      <w:tblPr>
        <w:tblW w:w="5169"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756"/>
        <w:gridCol w:w="756"/>
        <w:gridCol w:w="108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Allan Reine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Allan Reine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lineRule="auto" w:line="240" w:before="0" w:after="0"/>
        <w:jc w:val="left"/>
        <w:rPr>
          <w:color w:val="000000"/>
        </w:rPr>
      </w:pPr>
      <w:r>
        <w:rPr>
          <w:color w:val="000000"/>
        </w:rPr>
        <w:t>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0" w:after="180"/>
        <w:ind w:left="0" w:right="0" w:firstLine="55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Quarterly Report of Prime Medicine, Inc. (the “Company”) on Form 10-Q for the period ended June 30, 2026 as filed with the Securities and Exchange Commission on the date hereof (the “Report”), I certify, pursuant to 18 U.S.C. § 1350, as adopted pursuant to § 906 of the Sarbanes-Oxley Act of 2002, that: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40" w:before="0" w:after="0"/>
        <w:jc w:val="left"/>
        <w:rPr>
          <w:color w:val="000000"/>
        </w:rPr>
      </w:pPr>
      <w:r>
        <w:rPr>
          <w:color w:val="000000"/>
        </w:rPr>
        <w:t> </w:t>
      </w:r>
    </w:p>
    <w:tbl>
      <w:tblPr>
        <w:tblW w:w="5140"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751"/>
        <w:gridCol w:w="751"/>
        <w:gridCol w:w="106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Svetlana Ni Makhni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Svetlana Ni Makhni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lineRule="auto" w:line="240" w:before="0" w:after="0"/>
        <w:jc w:val="left"/>
        <w:rPr>
          <w:color w:val="000000"/>
        </w:rPr>
      </w:pPr>
      <w:r>
        <w:rPr>
          <w:color w:val="000000"/>
        </w:rPr>
        <w:t> </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94562/000162828022026895/exhibit31-closing8xk.htm" TargetMode="External"/><Relationship Id="rId3" Type="http://schemas.openxmlformats.org/officeDocument/2006/relationships/hyperlink" Target="https://www.sec.gov/Archives/edgar/data/1894562/000162828024027816/a06-12x2024xofficerexculpa.htm" TargetMode="External"/><Relationship Id="rId4" Type="http://schemas.openxmlformats.org/officeDocument/2006/relationships/hyperlink" Target="https://www.sec.gov/Archives/edgar/data/1894562/000162828024024530/a05-21x2024xamendedaoi.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19055</Words>
  <Characters>107252</Characters>
  <CharactersWithSpaces>125218</CharactersWithSpaces>
  <Paragraphs>1856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