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949591.xml.htm"/>
      <w:bookmarkStart w:id="1" w:name="kswkform4_17809495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Cahill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PRIME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Prime Medicine, Inc.</w:t>
              </w:r>
            </w:hyperlink>
            <w:r>
              <w:rPr/>
              <w:t xml:space="preserve"> [ </w:t>
            </w:r>
            <w:r>
              <w:rPr>
                <w:rFonts w:ascii="Times;serif" w:hAnsi="Times;serif"/>
                <w:color w:val="0000FF"/>
                <w:sz w:val="24"/>
                <w:shd w:fill="FFFFFF" w:val="clear"/>
              </w:rPr>
              <w:t>PRME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in full upon the earlier of (i) June 5, 2027 or (ii) the date of the next annual meeting of stockholders, subject to the Reporting Person's continuous service to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2939" TargetMode="External"/><Relationship Id="rId5" Type="http://schemas.openxmlformats.org/officeDocument/2006/relationships/hyperlink" Target="http://www.sec.gov/cgi-bin/browse-edgar?action=getcompany&amp;CIK=0001894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3296</Characters>
  <CharactersWithSpaces>3845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